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5" w:rsidRPr="008D17D2" w:rsidRDefault="00497AF5" w:rsidP="00497AF5">
      <w:pPr>
        <w:spacing w:after="0"/>
        <w:jc w:val="both"/>
        <w:rPr>
          <w:rFonts w:ascii="Century Gothic" w:hAnsi="Century Gothic" w:cs="Arial"/>
          <w:lang w:val="es-ES"/>
        </w:rPr>
      </w:pPr>
      <w:bookmarkStart w:id="0" w:name="_GoBack"/>
      <w:bookmarkEnd w:id="0"/>
      <w:r w:rsidRPr="008D17D2">
        <w:rPr>
          <w:rFonts w:ascii="Century Gothic" w:hAnsi="Century Gothic" w:cs="Arial"/>
          <w:lang w:val="es-ES"/>
        </w:rPr>
        <w:t>DECRETO Nº ___</w:t>
      </w:r>
    </w:p>
    <w:p w:rsidR="00497AF5" w:rsidRPr="008D17D2" w:rsidRDefault="00497AF5" w:rsidP="00497AF5">
      <w:p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LA ASAMBLEA LEGISLATIVA DE LA REPUBLICA DE EL SALVADOR,</w:t>
      </w:r>
    </w:p>
    <w:p w:rsidR="00497AF5" w:rsidRPr="008D17D2" w:rsidRDefault="00497AF5" w:rsidP="00497AF5">
      <w:p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CONSIDERANDO:</w:t>
      </w:r>
    </w:p>
    <w:p w:rsidR="00497AF5" w:rsidRPr="008D17D2" w:rsidRDefault="00497AF5" w:rsidP="00497AF5">
      <w:pPr>
        <w:spacing w:after="0"/>
        <w:jc w:val="both"/>
        <w:rPr>
          <w:rFonts w:ascii="Century Gothic" w:hAnsi="Century Gothic" w:cs="Arial"/>
          <w:lang w:val="es-ES"/>
        </w:rPr>
      </w:pPr>
    </w:p>
    <w:p w:rsidR="00497AF5" w:rsidRPr="008D17D2" w:rsidRDefault="00497AF5" w:rsidP="00497AF5">
      <w:pPr>
        <w:numPr>
          <w:ilvl w:val="0"/>
          <w:numId w:val="3"/>
        </w:num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Que existen necesidades de recursos públicos para el combate de</w:t>
      </w:r>
      <w:r w:rsidR="00F50D6A" w:rsidRPr="008D17D2">
        <w:rPr>
          <w:rFonts w:ascii="Century Gothic" w:hAnsi="Century Gothic" w:cs="Arial"/>
          <w:lang w:val="es-ES"/>
        </w:rPr>
        <w:t xml:space="preserve"> la delincuencia y criminalidad.</w:t>
      </w:r>
    </w:p>
    <w:p w:rsidR="00497AF5" w:rsidRPr="008D17D2" w:rsidRDefault="00497AF5" w:rsidP="00497AF5">
      <w:pPr>
        <w:spacing w:after="0"/>
        <w:ind w:left="720"/>
        <w:jc w:val="both"/>
        <w:rPr>
          <w:rFonts w:ascii="Century Gothic" w:hAnsi="Century Gothic" w:cs="Arial"/>
          <w:lang w:val="es-ES"/>
        </w:rPr>
      </w:pPr>
    </w:p>
    <w:p w:rsidR="00497AF5" w:rsidRPr="008D17D2" w:rsidRDefault="00497AF5" w:rsidP="00497AF5">
      <w:pPr>
        <w:numPr>
          <w:ilvl w:val="0"/>
          <w:numId w:val="3"/>
        </w:num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Que para sufragar dichas necesidades de forma inmediata, el Estado se ha financia</w:t>
      </w:r>
      <w:r w:rsidR="00586BAE" w:rsidRPr="008D17D2">
        <w:rPr>
          <w:rFonts w:ascii="Century Gothic" w:hAnsi="Century Gothic" w:cs="Arial"/>
          <w:lang w:val="es-ES"/>
        </w:rPr>
        <w:t>do</w:t>
      </w:r>
      <w:r w:rsidRPr="008D17D2">
        <w:rPr>
          <w:rFonts w:ascii="Century Gothic" w:hAnsi="Century Gothic" w:cs="Arial"/>
          <w:lang w:val="es-ES"/>
        </w:rPr>
        <w:t xml:space="preserve"> mediante deuda pública, la cual debe ser pagada en el mediano y largo plazo.</w:t>
      </w:r>
    </w:p>
    <w:p w:rsidR="00497AF5" w:rsidRPr="008D17D2" w:rsidRDefault="00497AF5" w:rsidP="00497AF5">
      <w:pPr>
        <w:spacing w:after="0"/>
        <w:ind w:left="720"/>
        <w:jc w:val="both"/>
        <w:rPr>
          <w:rFonts w:ascii="Century Gothic" w:hAnsi="Century Gothic" w:cs="Arial"/>
          <w:lang w:val="es-ES"/>
        </w:rPr>
      </w:pPr>
    </w:p>
    <w:p w:rsidR="00F50D6A" w:rsidRPr="008D17D2" w:rsidRDefault="00497AF5" w:rsidP="00497AF5">
      <w:pPr>
        <w:numPr>
          <w:ilvl w:val="0"/>
          <w:numId w:val="3"/>
        </w:num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 xml:space="preserve"> Que la seguridad  ciudadana es un bien jurídico cuya protección constitucional </w:t>
      </w:r>
      <w:r w:rsidR="00F50D6A" w:rsidRPr="008D17D2">
        <w:rPr>
          <w:rFonts w:ascii="Century Gothic" w:hAnsi="Century Gothic" w:cs="Arial"/>
          <w:lang w:val="es-ES"/>
        </w:rPr>
        <w:t>contribuye al bienestar de todas y todos los salvadoreños.</w:t>
      </w:r>
    </w:p>
    <w:p w:rsidR="00F50D6A" w:rsidRPr="008D17D2" w:rsidRDefault="00F50D6A" w:rsidP="00F50D6A">
      <w:pPr>
        <w:spacing w:after="0"/>
        <w:ind w:left="720"/>
        <w:jc w:val="both"/>
        <w:rPr>
          <w:rFonts w:ascii="Century Gothic" w:hAnsi="Century Gothic" w:cs="Arial"/>
          <w:lang w:val="es-ES"/>
        </w:rPr>
      </w:pPr>
    </w:p>
    <w:p w:rsidR="00497AF5" w:rsidRPr="008D17D2" w:rsidRDefault="00F50D6A" w:rsidP="00497AF5">
      <w:pPr>
        <w:numPr>
          <w:ilvl w:val="0"/>
          <w:numId w:val="3"/>
        </w:num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Que es necesario que a</w:t>
      </w:r>
      <w:r w:rsidR="00497AF5" w:rsidRPr="008D17D2">
        <w:rPr>
          <w:rFonts w:ascii="Century Gothic" w:hAnsi="Century Gothic" w:cs="Arial"/>
          <w:lang w:val="es-ES"/>
        </w:rPr>
        <w:t xml:space="preserve">quellos ciudadanos con </w:t>
      </w:r>
      <w:r w:rsidR="00815CBA" w:rsidRPr="008D17D2">
        <w:rPr>
          <w:rFonts w:ascii="Century Gothic" w:hAnsi="Century Gothic" w:cs="Arial"/>
          <w:lang w:val="es-ES"/>
        </w:rPr>
        <w:t xml:space="preserve">mayor </w:t>
      </w:r>
      <w:r w:rsidR="00497AF5" w:rsidRPr="008D17D2">
        <w:rPr>
          <w:rFonts w:ascii="Century Gothic" w:hAnsi="Century Gothic" w:cs="Arial"/>
          <w:lang w:val="es-ES"/>
        </w:rPr>
        <w:t xml:space="preserve">capacidad </w:t>
      </w:r>
      <w:r w:rsidRPr="008D17D2">
        <w:rPr>
          <w:rFonts w:ascii="Century Gothic" w:hAnsi="Century Gothic" w:cs="Arial"/>
          <w:lang w:val="es-ES"/>
        </w:rPr>
        <w:t xml:space="preserve"> </w:t>
      </w:r>
      <w:r w:rsidR="00815CBA" w:rsidRPr="008D17D2">
        <w:rPr>
          <w:rFonts w:ascii="Century Gothic" w:hAnsi="Century Gothic" w:cs="Arial"/>
          <w:lang w:val="es-ES"/>
        </w:rPr>
        <w:t>contributiva</w:t>
      </w:r>
      <w:r w:rsidR="00497AF5" w:rsidRPr="008D17D2">
        <w:rPr>
          <w:rFonts w:ascii="Century Gothic" w:hAnsi="Century Gothic" w:cs="Arial"/>
          <w:lang w:val="es-ES"/>
        </w:rPr>
        <w:t xml:space="preserve">,  </w:t>
      </w:r>
      <w:r w:rsidRPr="008D17D2">
        <w:rPr>
          <w:rFonts w:ascii="Century Gothic" w:hAnsi="Century Gothic" w:cs="Arial"/>
          <w:lang w:val="es-ES"/>
        </w:rPr>
        <w:t xml:space="preserve">coadyuven a hacer llegar recursos públicos para financiar el presupuesto de seguridad pública, </w:t>
      </w:r>
      <w:r w:rsidR="00497AF5" w:rsidRPr="008D17D2">
        <w:rPr>
          <w:rFonts w:ascii="Century Gothic" w:hAnsi="Century Gothic" w:cs="Arial"/>
          <w:lang w:val="es-ES"/>
        </w:rPr>
        <w:t xml:space="preserve">en beneficio de </w:t>
      </w:r>
      <w:r w:rsidRPr="008D17D2">
        <w:rPr>
          <w:rFonts w:ascii="Century Gothic" w:hAnsi="Century Gothic" w:cs="Arial"/>
          <w:lang w:val="es-ES"/>
        </w:rPr>
        <w:t>las y los salvadoreños.</w:t>
      </w:r>
    </w:p>
    <w:p w:rsidR="00F50D6A" w:rsidRPr="008D17D2" w:rsidRDefault="00F50D6A" w:rsidP="00F50D6A">
      <w:pPr>
        <w:pStyle w:val="Prrafodelista"/>
        <w:rPr>
          <w:rFonts w:ascii="Century Gothic" w:hAnsi="Century Gothic" w:cs="Arial"/>
          <w:lang w:val="es-ES"/>
        </w:rPr>
      </w:pPr>
    </w:p>
    <w:p w:rsidR="00F50D6A" w:rsidRPr="008D17D2" w:rsidRDefault="00F50D6A" w:rsidP="00F50D6A">
      <w:pPr>
        <w:numPr>
          <w:ilvl w:val="0"/>
          <w:numId w:val="3"/>
        </w:numPr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 xml:space="preserve">Que el capital o </w:t>
      </w:r>
      <w:r w:rsidRPr="008D17D2">
        <w:rPr>
          <w:rFonts w:ascii="Century Gothic" w:hAnsi="Century Gothic" w:cs="Arial"/>
          <w:bCs/>
          <w:lang w:val="es-ES"/>
        </w:rPr>
        <w:t>patrimonio</w:t>
      </w:r>
      <w:r w:rsidRPr="008D17D2">
        <w:rPr>
          <w:rFonts w:ascii="Century Gothic" w:hAnsi="Century Gothic" w:cs="Arial"/>
          <w:lang w:val="es-ES"/>
        </w:rPr>
        <w:t xml:space="preserve"> de los sujetos constituye un índice de riqueza y en consecuencia de expresión de la capacidad contributiva,  por lo que es conveniente </w:t>
      </w:r>
      <w:r w:rsidR="00DF1108" w:rsidRPr="008D17D2">
        <w:rPr>
          <w:rFonts w:ascii="Century Gothic" w:hAnsi="Century Gothic" w:cs="Arial"/>
          <w:lang w:val="es-ES"/>
        </w:rPr>
        <w:t>crear un impuesto</w:t>
      </w:r>
      <w:r w:rsidR="00876CE1" w:rsidRPr="008D17D2">
        <w:rPr>
          <w:rFonts w:ascii="Century Gothic" w:hAnsi="Century Gothic" w:cs="Arial"/>
          <w:lang w:val="es-ES"/>
        </w:rPr>
        <w:t xml:space="preserve"> extraordinario para la seguridad ciudadana</w:t>
      </w:r>
      <w:r w:rsidR="00DF1108" w:rsidRPr="008D17D2">
        <w:rPr>
          <w:rFonts w:ascii="Century Gothic" w:hAnsi="Century Gothic" w:cs="Arial"/>
          <w:lang w:val="es-ES"/>
        </w:rPr>
        <w:t xml:space="preserve"> </w:t>
      </w:r>
      <w:r w:rsidR="00482A89" w:rsidRPr="008D17D2">
        <w:rPr>
          <w:rFonts w:ascii="Century Gothic" w:hAnsi="Century Gothic" w:cs="Arial"/>
          <w:lang w:val="es-ES"/>
        </w:rPr>
        <w:t>que g</w:t>
      </w:r>
      <w:r w:rsidRPr="008D17D2">
        <w:rPr>
          <w:rFonts w:ascii="Century Gothic" w:hAnsi="Century Gothic" w:cs="Arial"/>
          <w:lang w:val="es-ES"/>
        </w:rPr>
        <w:t>ravar</w:t>
      </w:r>
      <w:r w:rsidR="00482A89" w:rsidRPr="008D17D2">
        <w:rPr>
          <w:rFonts w:ascii="Century Gothic" w:hAnsi="Century Gothic" w:cs="Arial"/>
          <w:lang w:val="es-ES"/>
        </w:rPr>
        <w:t>á dicha riqueza</w:t>
      </w:r>
      <w:r w:rsidRPr="008D17D2">
        <w:rPr>
          <w:rFonts w:ascii="Century Gothic" w:hAnsi="Century Gothic" w:cs="Arial"/>
          <w:lang w:val="es-ES"/>
        </w:rPr>
        <w:t>, para permitir  el ingreso de recursos públicos para financiar la seguridad pública en el país.</w:t>
      </w:r>
    </w:p>
    <w:p w:rsidR="00F50D6A" w:rsidRPr="008D17D2" w:rsidRDefault="00497AF5" w:rsidP="002A2F8A">
      <w:pPr>
        <w:spacing w:after="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br/>
        <w:t>POR TANTO,</w:t>
      </w:r>
    </w:p>
    <w:p w:rsidR="00497AF5" w:rsidRPr="008D17D2" w:rsidRDefault="00497AF5" w:rsidP="00F50D6A">
      <w:pPr>
        <w:spacing w:after="0"/>
        <w:ind w:left="72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br/>
        <w:t>en uso de sus facultades constitucionales y a iniciativa de</w:t>
      </w:r>
      <w:r w:rsidR="00567AED" w:rsidRPr="008D17D2">
        <w:rPr>
          <w:rFonts w:ascii="Century Gothic" w:hAnsi="Century Gothic" w:cs="Arial"/>
          <w:lang w:val="es-ES"/>
        </w:rPr>
        <w:t>________________</w:t>
      </w:r>
      <w:r w:rsidRPr="008D17D2">
        <w:rPr>
          <w:rFonts w:ascii="Century Gothic" w:hAnsi="Century Gothic" w:cs="Arial"/>
          <w:lang w:val="es-ES"/>
        </w:rPr>
        <w:t xml:space="preserve"> </w:t>
      </w:r>
      <w:r w:rsidR="00567AED" w:rsidRPr="008D17D2">
        <w:rPr>
          <w:rFonts w:ascii="Century Gothic" w:hAnsi="Century Gothic" w:cs="Arial"/>
          <w:lang w:val="es-ES"/>
        </w:rPr>
        <w:t>_____________________________________________________________________</w:t>
      </w:r>
      <w:r w:rsidRPr="008D17D2">
        <w:rPr>
          <w:rFonts w:ascii="Century Gothic" w:hAnsi="Century Gothic" w:cs="Arial"/>
          <w:lang w:val="es-ES"/>
        </w:rPr>
        <w:t>,</w:t>
      </w:r>
      <w:r w:rsidRPr="008D17D2">
        <w:rPr>
          <w:rFonts w:ascii="Century Gothic" w:hAnsi="Century Gothic" w:cs="Arial"/>
          <w:lang w:val="es-ES"/>
        </w:rPr>
        <w:br/>
      </w:r>
      <w:r w:rsidRPr="008D17D2">
        <w:rPr>
          <w:rFonts w:ascii="Century Gothic" w:hAnsi="Century Gothic" w:cs="Arial"/>
          <w:lang w:val="es-ES"/>
        </w:rPr>
        <w:br/>
        <w:t>DECRETA la siguiente:</w:t>
      </w:r>
    </w:p>
    <w:p w:rsidR="00497AF5" w:rsidRPr="008D17D2" w:rsidRDefault="00497AF5" w:rsidP="00497AF5">
      <w:pPr>
        <w:spacing w:after="0"/>
        <w:jc w:val="both"/>
        <w:rPr>
          <w:rFonts w:ascii="Century Gothic" w:hAnsi="Century Gothic" w:cs="Arial"/>
          <w:lang w:val="es-ES"/>
        </w:rPr>
      </w:pPr>
    </w:p>
    <w:p w:rsidR="00F50D6A" w:rsidRPr="008D17D2" w:rsidRDefault="00F50D6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F50D6A" w:rsidRPr="008D17D2" w:rsidRDefault="00F50D6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F50D6A" w:rsidRPr="008D17D2" w:rsidRDefault="00F50D6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2A2F8A" w:rsidRPr="008D17D2" w:rsidRDefault="002A2F8A" w:rsidP="00497AF5">
      <w:pPr>
        <w:spacing w:after="0"/>
        <w:jc w:val="center"/>
        <w:rPr>
          <w:rFonts w:ascii="Century Gothic" w:hAnsi="Century Gothic" w:cs="Arial"/>
          <w:lang w:val="es-ES"/>
        </w:rPr>
      </w:pPr>
    </w:p>
    <w:p w:rsidR="00497AF5" w:rsidRPr="008D17D2" w:rsidRDefault="00497AF5" w:rsidP="00497AF5">
      <w:pPr>
        <w:spacing w:after="0"/>
        <w:jc w:val="center"/>
        <w:rPr>
          <w:rFonts w:ascii="Century Gothic" w:hAnsi="Century Gothic" w:cs="Arial"/>
          <w:b/>
          <w:lang w:val="es-ES"/>
        </w:rPr>
      </w:pPr>
      <w:r w:rsidRPr="008D17D2">
        <w:rPr>
          <w:rFonts w:ascii="Century Gothic" w:hAnsi="Century Gothic" w:cs="Arial"/>
          <w:b/>
          <w:lang w:val="es-ES"/>
        </w:rPr>
        <w:lastRenderedPageBreak/>
        <w:t xml:space="preserve">LEY DE IMPUESTO </w:t>
      </w:r>
      <w:r w:rsidR="00482A89" w:rsidRPr="008D17D2">
        <w:rPr>
          <w:rFonts w:ascii="Century Gothic" w:hAnsi="Century Gothic" w:cs="Arial"/>
          <w:b/>
          <w:lang w:val="es-ES"/>
        </w:rPr>
        <w:t xml:space="preserve">EXTRAORDINARIO PARA LA </w:t>
      </w:r>
      <w:r w:rsidRPr="008D17D2">
        <w:rPr>
          <w:rFonts w:ascii="Century Gothic" w:hAnsi="Century Gothic" w:cs="Arial"/>
          <w:b/>
          <w:lang w:val="es-ES"/>
        </w:rPr>
        <w:t>S</w:t>
      </w:r>
      <w:r w:rsidR="00482A89" w:rsidRPr="008D17D2">
        <w:rPr>
          <w:rFonts w:ascii="Century Gothic" w:hAnsi="Century Gothic" w:cs="Arial"/>
          <w:b/>
          <w:lang w:val="es-ES"/>
        </w:rPr>
        <w:t>EGURIDAD CIUDADANA</w:t>
      </w:r>
      <w:r w:rsidRPr="008D17D2">
        <w:rPr>
          <w:rFonts w:ascii="Century Gothic" w:hAnsi="Century Gothic" w:cs="Arial"/>
          <w:b/>
          <w:lang w:val="es-ES"/>
        </w:rPr>
        <w:t>.</w:t>
      </w:r>
    </w:p>
    <w:p w:rsidR="007D3B5A" w:rsidRPr="008D17D2" w:rsidRDefault="007D3B5A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866625" w:rsidRPr="008D17D2" w:rsidRDefault="00866625" w:rsidP="0086662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>Hecho generador</w:t>
      </w:r>
    </w:p>
    <w:p w:rsidR="00866625" w:rsidRPr="008D17D2" w:rsidRDefault="00866625" w:rsidP="0086662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866625" w:rsidRPr="008D17D2" w:rsidRDefault="00866625" w:rsidP="00866625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>Artículo 1.-</w:t>
      </w: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AF71A7" w:rsidRPr="008D17D2">
        <w:rPr>
          <w:rFonts w:ascii="Century Gothic" w:eastAsia="Times New Roman" w:hAnsi="Century Gothic" w:cs="Arial"/>
          <w:lang w:eastAsia="es-SV"/>
        </w:rPr>
        <w:t xml:space="preserve">Por la presente ley se establece un impuesto </w:t>
      </w:r>
      <w:r w:rsidR="00482A89" w:rsidRPr="008D17D2">
        <w:rPr>
          <w:rFonts w:ascii="Century Gothic" w:eastAsia="Times New Roman" w:hAnsi="Century Gothic" w:cs="Arial"/>
          <w:lang w:eastAsia="es-SV"/>
        </w:rPr>
        <w:t xml:space="preserve">extraordinario para la seguridad ciudadana, </w:t>
      </w:r>
      <w:r w:rsidR="00AF71A7" w:rsidRPr="008D17D2">
        <w:rPr>
          <w:rFonts w:ascii="Century Gothic" w:eastAsia="Times New Roman" w:hAnsi="Century Gothic" w:cs="Arial"/>
          <w:lang w:eastAsia="es-SV"/>
        </w:rPr>
        <w:t xml:space="preserve">el cual se </w:t>
      </w:r>
      <w:r w:rsidRPr="008D17D2">
        <w:rPr>
          <w:rFonts w:ascii="Century Gothic" w:eastAsia="Times New Roman" w:hAnsi="Century Gothic" w:cs="Arial"/>
          <w:lang w:eastAsia="es-SV"/>
        </w:rPr>
        <w:t xml:space="preserve">genera por la posesión de </w:t>
      </w:r>
      <w:r w:rsidR="005B0A5B">
        <w:rPr>
          <w:rFonts w:ascii="Century Gothic" w:eastAsia="Times New Roman" w:hAnsi="Century Gothic" w:cs="Arial"/>
          <w:lang w:eastAsia="es-SV"/>
        </w:rPr>
        <w:t xml:space="preserve">patrimonio </w:t>
      </w:r>
      <w:r w:rsidRPr="008D17D2">
        <w:rPr>
          <w:rFonts w:ascii="Century Gothic" w:eastAsia="Times New Roman" w:hAnsi="Century Gothic" w:cs="Arial"/>
          <w:lang w:eastAsia="es-SV"/>
        </w:rPr>
        <w:t>al treinta y uno de diciembre o al término del período de imposición.</w:t>
      </w:r>
    </w:p>
    <w:p w:rsidR="00AF71A7" w:rsidRPr="008D17D2" w:rsidRDefault="00AF71A7" w:rsidP="00866625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AF71A7" w:rsidRPr="00971DC2" w:rsidRDefault="00AF71A7" w:rsidP="00AF71A7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971DC2">
        <w:rPr>
          <w:rFonts w:ascii="Century Gothic" w:eastAsia="Times New Roman" w:hAnsi="Century Gothic" w:cs="Arial"/>
          <w:lang w:eastAsia="es-SV"/>
        </w:rPr>
        <w:t xml:space="preserve">Para efectos de este impuesto, el concepto de </w:t>
      </w:r>
      <w:r w:rsidR="00971DC2">
        <w:rPr>
          <w:rFonts w:ascii="Century Gothic" w:eastAsia="Times New Roman" w:hAnsi="Century Gothic" w:cs="Arial"/>
          <w:lang w:eastAsia="es-SV"/>
        </w:rPr>
        <w:t xml:space="preserve">patrimonio </w:t>
      </w:r>
      <w:r w:rsidRPr="00971DC2">
        <w:rPr>
          <w:rFonts w:ascii="Century Gothic" w:eastAsia="Times New Roman" w:hAnsi="Century Gothic" w:cs="Arial"/>
          <w:lang w:eastAsia="es-SV"/>
        </w:rPr>
        <w:t>es equivalente al total del patrimonio neto del obligado</w:t>
      </w:r>
      <w:r w:rsidR="00971DC2">
        <w:rPr>
          <w:rFonts w:ascii="Century Gothic" w:eastAsia="Times New Roman" w:hAnsi="Century Gothic" w:cs="Arial"/>
          <w:lang w:eastAsia="es-SV"/>
        </w:rPr>
        <w:t xml:space="preserve"> según lo establecido en la presente ley</w:t>
      </w:r>
      <w:r w:rsidRPr="00971DC2">
        <w:rPr>
          <w:rFonts w:ascii="Century Gothic" w:eastAsia="Times New Roman" w:hAnsi="Century Gothic" w:cs="Arial"/>
          <w:lang w:eastAsia="es-SV"/>
        </w:rPr>
        <w:t>.</w:t>
      </w:r>
    </w:p>
    <w:p w:rsidR="00BF1CE3" w:rsidRDefault="00BF1CE3" w:rsidP="00866625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7D3B5A" w:rsidRPr="008D17D2" w:rsidRDefault="00AF71A7" w:rsidP="00866625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>Sujetos pasivos</w:t>
      </w:r>
      <w:r w:rsidR="00A27DB5" w:rsidRPr="008D17D2">
        <w:rPr>
          <w:rFonts w:ascii="Century Gothic" w:eastAsia="Times New Roman" w:hAnsi="Century Gothic" w:cs="Arial"/>
          <w:b/>
          <w:bCs/>
          <w:lang w:eastAsia="es-SV"/>
        </w:rPr>
        <w:t xml:space="preserve"> del </w:t>
      </w:r>
      <w:r w:rsidR="004D531A" w:rsidRPr="008D17D2">
        <w:rPr>
          <w:rFonts w:ascii="Century Gothic" w:eastAsia="Times New Roman" w:hAnsi="Century Gothic" w:cs="Arial"/>
          <w:b/>
          <w:bCs/>
          <w:lang w:eastAsia="es-SV"/>
        </w:rPr>
        <w:t>i</w:t>
      </w:r>
      <w:r w:rsidR="007D3B5A" w:rsidRPr="008D17D2">
        <w:rPr>
          <w:rFonts w:ascii="Century Gothic" w:eastAsia="Times New Roman" w:hAnsi="Century Gothic" w:cs="Arial"/>
          <w:b/>
          <w:bCs/>
          <w:lang w:eastAsia="es-SV"/>
        </w:rPr>
        <w:t xml:space="preserve">mpuesto </w:t>
      </w:r>
    </w:p>
    <w:p w:rsidR="007D3B5A" w:rsidRPr="008D17D2" w:rsidRDefault="007D3B5A" w:rsidP="007D3B5A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A664DE" w:rsidRPr="008D17D2" w:rsidRDefault="00D360DB" w:rsidP="007D3B5A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AF71A7" w:rsidRPr="008D17D2">
        <w:rPr>
          <w:rFonts w:ascii="Century Gothic" w:eastAsia="Times New Roman" w:hAnsi="Century Gothic" w:cs="Arial"/>
          <w:b/>
          <w:bCs/>
          <w:lang w:eastAsia="es-SV"/>
        </w:rPr>
        <w:t>2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.</w:t>
      </w:r>
      <w:r w:rsidR="00A664DE" w:rsidRPr="008D17D2">
        <w:rPr>
          <w:rFonts w:ascii="Century Gothic" w:eastAsia="Times New Roman" w:hAnsi="Century Gothic" w:cs="Arial"/>
          <w:b/>
          <w:bCs/>
          <w:lang w:eastAsia="es-SV"/>
        </w:rPr>
        <w:t>-</w:t>
      </w: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AF71A7" w:rsidRPr="008D17D2">
        <w:rPr>
          <w:rFonts w:ascii="Century Gothic" w:eastAsia="Times New Roman" w:hAnsi="Century Gothic" w:cs="Arial"/>
          <w:lang w:eastAsia="es-SV"/>
        </w:rPr>
        <w:t xml:space="preserve">Son sujetos pasivos del impuesto </w:t>
      </w:r>
      <w:r w:rsidRPr="008D17D2">
        <w:rPr>
          <w:rFonts w:ascii="Century Gothic" w:eastAsia="Times New Roman" w:hAnsi="Century Gothic" w:cs="Arial"/>
          <w:lang w:eastAsia="es-SV"/>
        </w:rPr>
        <w:t>las personas jurídicas, naturales</w:t>
      </w:r>
      <w:r w:rsidR="00A664DE" w:rsidRPr="008D17D2">
        <w:rPr>
          <w:rFonts w:ascii="Century Gothic" w:eastAsia="Times New Roman" w:hAnsi="Century Gothic" w:cs="Arial"/>
          <w:lang w:eastAsia="es-SV"/>
        </w:rPr>
        <w:t xml:space="preserve">, fideicomisos, sucesiones, </w:t>
      </w:r>
      <w:r w:rsidR="0041240D" w:rsidRPr="008D17D2">
        <w:rPr>
          <w:rFonts w:ascii="Century Gothic" w:eastAsia="Times New Roman" w:hAnsi="Century Gothic" w:cs="Arial"/>
          <w:lang w:eastAsia="es-SV"/>
        </w:rPr>
        <w:t xml:space="preserve">sociedades de hecho </w:t>
      </w:r>
      <w:r w:rsidR="00B0784F" w:rsidRPr="008D17D2">
        <w:rPr>
          <w:rFonts w:ascii="Century Gothic" w:eastAsia="Times New Roman" w:hAnsi="Century Gothic" w:cs="Arial"/>
          <w:lang w:eastAsia="es-SV"/>
        </w:rPr>
        <w:t xml:space="preserve">y </w:t>
      </w:r>
      <w:r w:rsidR="00A664DE" w:rsidRPr="008D17D2">
        <w:rPr>
          <w:rFonts w:ascii="Century Gothic" w:eastAsia="Times New Roman" w:hAnsi="Century Gothic" w:cs="Arial"/>
          <w:lang w:eastAsia="es-SV"/>
        </w:rPr>
        <w:t>unión de personas</w:t>
      </w:r>
      <w:r w:rsidR="00AF71A7" w:rsidRPr="008D17D2">
        <w:rPr>
          <w:rFonts w:ascii="Century Gothic" w:eastAsia="Times New Roman" w:hAnsi="Century Gothic" w:cs="Arial"/>
          <w:lang w:eastAsia="es-SV"/>
        </w:rPr>
        <w:t xml:space="preserve">, que posean </w:t>
      </w:r>
      <w:r w:rsidR="003D3B75">
        <w:rPr>
          <w:rFonts w:ascii="Century Gothic" w:eastAsia="Times New Roman" w:hAnsi="Century Gothic" w:cs="Arial"/>
          <w:lang w:eastAsia="es-SV"/>
        </w:rPr>
        <w:t>patrimonio</w:t>
      </w:r>
      <w:r w:rsidR="00A664DE" w:rsidRPr="008D17D2">
        <w:rPr>
          <w:rFonts w:ascii="Century Gothic" w:eastAsia="Times New Roman" w:hAnsi="Century Gothic" w:cs="Arial"/>
          <w:lang w:eastAsia="es-SV"/>
        </w:rPr>
        <w:t xml:space="preserve">, domiciliados </w:t>
      </w:r>
      <w:r w:rsidR="00CA20C5" w:rsidRPr="008D17D2">
        <w:rPr>
          <w:rFonts w:ascii="Century Gothic" w:eastAsia="Times New Roman" w:hAnsi="Century Gothic" w:cs="Arial"/>
          <w:lang w:eastAsia="es-SV"/>
        </w:rPr>
        <w:t xml:space="preserve">o no </w:t>
      </w:r>
      <w:r w:rsidR="00255B14" w:rsidRPr="008D17D2">
        <w:rPr>
          <w:rFonts w:ascii="Century Gothic" w:eastAsia="Times New Roman" w:hAnsi="Century Gothic" w:cs="Arial"/>
          <w:lang w:eastAsia="es-SV"/>
        </w:rPr>
        <w:t>para efectos tributarios</w:t>
      </w:r>
      <w:r w:rsidRPr="008D17D2">
        <w:rPr>
          <w:rFonts w:ascii="Century Gothic" w:eastAsia="Times New Roman" w:hAnsi="Century Gothic" w:cs="Arial"/>
          <w:lang w:eastAsia="es-SV"/>
        </w:rPr>
        <w:t xml:space="preserve">. </w:t>
      </w:r>
    </w:p>
    <w:p w:rsidR="00A664DE" w:rsidRPr="008D17D2" w:rsidRDefault="00A664DE" w:rsidP="007D3B5A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D14F08" w:rsidRPr="008D17D2" w:rsidRDefault="00D14F08" w:rsidP="00D14F08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El Ministerio de Hacienda, por medio de la Dirección General de Impuestos Internos y la Dirección General de Tesorería, será el responsable de la administración, recaudación y cobro del impuesto establecido en esta ley.</w:t>
      </w:r>
    </w:p>
    <w:p w:rsidR="00D14F08" w:rsidRPr="008D17D2" w:rsidRDefault="00D14F08" w:rsidP="00D14F08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0A3EB4" w:rsidRPr="008D17D2" w:rsidRDefault="00FA690C" w:rsidP="00A664DE">
      <w:pPr>
        <w:spacing w:after="0" w:line="240" w:lineRule="auto"/>
        <w:jc w:val="both"/>
        <w:rPr>
          <w:rFonts w:ascii="Century Gothic" w:eastAsia="Times New Roman" w:hAnsi="Century Gothic"/>
          <w:b/>
          <w:noProof/>
          <w:lang w:eastAsia="es-SV"/>
        </w:rPr>
      </w:pPr>
      <w:r>
        <w:rPr>
          <w:rFonts w:ascii="Century Gothic" w:eastAsia="Times New Roman" w:hAnsi="Century Gothic"/>
          <w:noProof/>
          <w:lang w:eastAsia="es-SV"/>
        </w:rPr>
        <w:drawing>
          <wp:inline distT="0" distB="0" distL="0" distR="0">
            <wp:extent cx="8255" cy="8255"/>
            <wp:effectExtent l="0" t="0" r="0" b="0"/>
            <wp:docPr id="2" name="Imagen 15" descr="http://www.dian.gov.co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dian.gov.co/icons/ec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4DE" w:rsidRPr="008D17D2">
        <w:rPr>
          <w:rFonts w:ascii="Century Gothic" w:eastAsia="Times New Roman" w:hAnsi="Century Gothic" w:cs="Arial"/>
          <w:b/>
          <w:bCs/>
          <w:lang w:eastAsia="es-SV"/>
        </w:rPr>
        <w:t xml:space="preserve"> </w:t>
      </w:r>
      <w:r w:rsidR="000A3EB4" w:rsidRPr="008D17D2">
        <w:rPr>
          <w:rFonts w:ascii="Century Gothic" w:eastAsia="Times New Roman" w:hAnsi="Century Gothic"/>
          <w:b/>
          <w:noProof/>
          <w:lang w:eastAsia="es-SV"/>
        </w:rPr>
        <w:t xml:space="preserve">Momento en que se causa el </w:t>
      </w:r>
      <w:r w:rsidR="004D531A" w:rsidRPr="008D17D2">
        <w:rPr>
          <w:rFonts w:ascii="Century Gothic" w:eastAsia="Times New Roman" w:hAnsi="Century Gothic"/>
          <w:b/>
          <w:noProof/>
          <w:lang w:eastAsia="es-SV"/>
        </w:rPr>
        <w:t>i</w:t>
      </w:r>
      <w:r w:rsidR="000A3EB4" w:rsidRPr="008D17D2">
        <w:rPr>
          <w:rFonts w:ascii="Century Gothic" w:eastAsia="Times New Roman" w:hAnsi="Century Gothic"/>
          <w:b/>
          <w:noProof/>
          <w:lang w:eastAsia="es-SV"/>
        </w:rPr>
        <w:t>mpuesto</w:t>
      </w:r>
    </w:p>
    <w:p w:rsidR="000A3EB4" w:rsidRPr="008D17D2" w:rsidRDefault="000A3EB4" w:rsidP="00A664DE">
      <w:pPr>
        <w:spacing w:after="0" w:line="240" w:lineRule="auto"/>
        <w:jc w:val="both"/>
        <w:rPr>
          <w:rFonts w:ascii="Century Gothic" w:eastAsia="Times New Roman" w:hAnsi="Century Gothic"/>
          <w:noProof/>
          <w:lang w:eastAsia="es-SV"/>
        </w:rPr>
      </w:pPr>
    </w:p>
    <w:p w:rsidR="000A3EB4" w:rsidRPr="008D17D2" w:rsidRDefault="00D360DB" w:rsidP="000A3EB4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0A3EB4" w:rsidRPr="008D17D2">
        <w:rPr>
          <w:rFonts w:ascii="Century Gothic" w:eastAsia="Times New Roman" w:hAnsi="Century Gothic" w:cs="Arial"/>
          <w:b/>
          <w:bCs/>
          <w:lang w:eastAsia="es-SV"/>
        </w:rPr>
        <w:t>3.-</w:t>
      </w:r>
      <w:r w:rsidRPr="008D17D2">
        <w:rPr>
          <w:rFonts w:ascii="Century Gothic" w:eastAsia="Times New Roman" w:hAnsi="Century Gothic" w:cs="Arial"/>
          <w:lang w:eastAsia="es-SV"/>
        </w:rPr>
        <w:t xml:space="preserve"> El impuesto a que se refiere e</w:t>
      </w:r>
      <w:r w:rsidR="000A3EB4" w:rsidRPr="008D17D2">
        <w:rPr>
          <w:rFonts w:ascii="Century Gothic" w:eastAsia="Times New Roman" w:hAnsi="Century Gothic" w:cs="Arial"/>
          <w:lang w:eastAsia="es-SV"/>
        </w:rPr>
        <w:t xml:space="preserve">sta ley </w:t>
      </w:r>
      <w:r w:rsidRPr="008D17D2">
        <w:rPr>
          <w:rFonts w:ascii="Century Gothic" w:eastAsia="Times New Roman" w:hAnsi="Century Gothic" w:cs="Arial"/>
          <w:lang w:eastAsia="es-SV"/>
        </w:rPr>
        <w:t xml:space="preserve">se causa </w:t>
      </w:r>
      <w:r w:rsidR="000A3EB4" w:rsidRPr="008D17D2">
        <w:rPr>
          <w:rFonts w:ascii="Century Gothic" w:eastAsia="Times New Roman" w:hAnsi="Century Gothic" w:cs="Arial"/>
          <w:lang w:eastAsia="es-SV"/>
        </w:rPr>
        <w:t>al 31 de diciembre de cada año o al término del período de imposición.</w:t>
      </w:r>
    </w:p>
    <w:p w:rsidR="00D360DB" w:rsidRPr="008D17D2" w:rsidRDefault="00D360DB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0A3EB4" w:rsidRPr="008D17D2" w:rsidRDefault="000A3EB4" w:rsidP="000A3EB4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>Base imponible</w:t>
      </w:r>
    </w:p>
    <w:p w:rsidR="000A3EB4" w:rsidRPr="008D17D2" w:rsidRDefault="000A3EB4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5E46E5" w:rsidRDefault="00D360DB" w:rsidP="000A3EB4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0A3EB4" w:rsidRPr="008D17D2">
        <w:rPr>
          <w:rFonts w:ascii="Century Gothic" w:eastAsia="Times New Roman" w:hAnsi="Century Gothic" w:cs="Arial"/>
          <w:b/>
          <w:bCs/>
          <w:lang w:eastAsia="es-SV"/>
        </w:rPr>
        <w:t>4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.</w:t>
      </w:r>
      <w:r w:rsidR="000A3EB4" w:rsidRPr="008D17D2">
        <w:rPr>
          <w:rFonts w:ascii="Century Gothic" w:eastAsia="Times New Roman" w:hAnsi="Century Gothic" w:cs="Arial"/>
          <w:b/>
          <w:bCs/>
          <w:lang w:eastAsia="es-SV"/>
        </w:rPr>
        <w:t>-</w:t>
      </w:r>
      <w:r w:rsidRPr="008D17D2">
        <w:rPr>
          <w:rFonts w:ascii="Century Gothic" w:eastAsia="Times New Roman" w:hAnsi="Century Gothic" w:cs="Arial"/>
          <w:lang w:eastAsia="es-SV"/>
        </w:rPr>
        <w:t xml:space="preserve"> La base imponible del impuesto, está constituida por el valor del patrimonio </w:t>
      </w:r>
      <w:r w:rsidR="00D06B36" w:rsidRPr="008D17D2">
        <w:rPr>
          <w:rFonts w:ascii="Century Gothic" w:eastAsia="Times New Roman" w:hAnsi="Century Gothic" w:cs="Arial"/>
          <w:lang w:eastAsia="es-SV"/>
        </w:rPr>
        <w:t xml:space="preserve">neto </w:t>
      </w:r>
      <w:r w:rsidRPr="008D17D2">
        <w:rPr>
          <w:rFonts w:ascii="Century Gothic" w:eastAsia="Times New Roman" w:hAnsi="Century Gothic" w:cs="Arial"/>
          <w:lang w:eastAsia="es-SV"/>
        </w:rPr>
        <w:t>del contribuyente</w:t>
      </w:r>
      <w:r w:rsidR="00930D75" w:rsidRPr="008D17D2">
        <w:rPr>
          <w:rFonts w:ascii="Century Gothic" w:eastAsia="Times New Roman" w:hAnsi="Century Gothic" w:cs="Arial"/>
          <w:lang w:eastAsia="es-SV"/>
        </w:rPr>
        <w:t xml:space="preserve">, el cual </w:t>
      </w:r>
      <w:r w:rsidR="00D06B36" w:rsidRPr="008D17D2">
        <w:rPr>
          <w:rFonts w:ascii="Century Gothic" w:eastAsia="Times New Roman" w:hAnsi="Century Gothic" w:cs="Arial"/>
          <w:lang w:eastAsia="es-SV"/>
        </w:rPr>
        <w:t xml:space="preserve">se determinará restando a </w:t>
      </w:r>
      <w:r w:rsidR="00D06B36" w:rsidRPr="008D17D2">
        <w:rPr>
          <w:rFonts w:ascii="Century Gothic" w:hAnsi="Century Gothic" w:cs="Arial"/>
          <w:lang w:val="es-ES"/>
        </w:rPr>
        <w:t xml:space="preserve"> la </w:t>
      </w:r>
      <w:r w:rsidR="00571F8E" w:rsidRPr="008D17D2">
        <w:rPr>
          <w:rFonts w:ascii="Century Gothic" w:hAnsi="Century Gothic" w:cs="Arial"/>
          <w:lang w:val="es-ES"/>
        </w:rPr>
        <w:t xml:space="preserve"> totalidad del </w:t>
      </w:r>
      <w:r w:rsidR="00D06B36" w:rsidRPr="008D17D2">
        <w:rPr>
          <w:rFonts w:ascii="Century Gothic" w:hAnsi="Century Gothic" w:cs="Arial"/>
          <w:lang w:val="es-ES"/>
        </w:rPr>
        <w:t xml:space="preserve">activo, </w:t>
      </w:r>
      <w:r w:rsidR="00571F8E" w:rsidRPr="008D17D2">
        <w:rPr>
          <w:rFonts w:ascii="Century Gothic" w:hAnsi="Century Gothic" w:cs="Arial"/>
          <w:lang w:val="es-ES"/>
        </w:rPr>
        <w:t xml:space="preserve">la suma total </w:t>
      </w:r>
      <w:r w:rsidR="00D06B36" w:rsidRPr="008D17D2">
        <w:rPr>
          <w:rFonts w:ascii="Century Gothic" w:hAnsi="Century Gothic" w:cs="Arial"/>
          <w:lang w:val="es-ES"/>
        </w:rPr>
        <w:t>de l</w:t>
      </w:r>
      <w:r w:rsidR="00325FB0" w:rsidRPr="008D17D2">
        <w:rPr>
          <w:rFonts w:ascii="Century Gothic" w:hAnsi="Century Gothic" w:cs="Arial"/>
          <w:lang w:val="es-ES"/>
        </w:rPr>
        <w:t>os pasivos debidamente comprobado</w:t>
      </w:r>
      <w:r w:rsidR="00D06B36" w:rsidRPr="008D17D2">
        <w:rPr>
          <w:rFonts w:ascii="Century Gothic" w:hAnsi="Century Gothic" w:cs="Arial"/>
          <w:lang w:val="es-ES"/>
        </w:rPr>
        <w:t>s</w:t>
      </w:r>
      <w:r w:rsidR="005E46E5">
        <w:rPr>
          <w:rFonts w:ascii="Century Gothic" w:hAnsi="Century Gothic" w:cs="Arial"/>
          <w:lang w:val="es-ES"/>
        </w:rPr>
        <w:t>.</w:t>
      </w:r>
    </w:p>
    <w:p w:rsidR="005E46E5" w:rsidRDefault="005E46E5" w:rsidP="000A3EB4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</w:p>
    <w:p w:rsidR="00B476B8" w:rsidRPr="008D17D2" w:rsidRDefault="005E46E5" w:rsidP="005E46E5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>
        <w:rPr>
          <w:rFonts w:ascii="Century Gothic" w:hAnsi="Century Gothic" w:cs="Arial"/>
          <w:lang w:val="es-ES"/>
        </w:rPr>
        <w:t xml:space="preserve">El </w:t>
      </w:r>
      <w:r w:rsidRPr="008D17D2">
        <w:rPr>
          <w:rFonts w:ascii="Century Gothic" w:eastAsia="Times New Roman" w:hAnsi="Century Gothic" w:cs="Arial"/>
          <w:lang w:eastAsia="es-SV"/>
        </w:rPr>
        <w:t>activo</w:t>
      </w:r>
      <w:r w:rsidR="00B476B8" w:rsidRPr="008D17D2">
        <w:rPr>
          <w:rFonts w:ascii="Century Gothic" w:eastAsia="Times New Roman" w:hAnsi="Century Gothic" w:cs="Arial"/>
          <w:lang w:eastAsia="es-SV"/>
        </w:rPr>
        <w:t xml:space="preserve"> comprenderá el valor de los bienes muebles e inmuebles apreciables en</w:t>
      </w:r>
      <w:r w:rsidR="00420BBB" w:rsidRPr="008D17D2">
        <w:rPr>
          <w:rFonts w:ascii="Century Gothic" w:eastAsia="Times New Roman" w:hAnsi="Century Gothic" w:cs="Arial"/>
          <w:lang w:eastAsia="es-SV"/>
        </w:rPr>
        <w:t xml:space="preserve"> dinero</w:t>
      </w:r>
      <w:r>
        <w:rPr>
          <w:rFonts w:ascii="Century Gothic" w:eastAsia="Times New Roman" w:hAnsi="Century Gothic" w:cs="Arial"/>
          <w:lang w:eastAsia="es-SV"/>
        </w:rPr>
        <w:t xml:space="preserve">. </w:t>
      </w:r>
      <w:r w:rsidR="00420BBB" w:rsidRPr="008D17D2">
        <w:rPr>
          <w:rFonts w:ascii="Century Gothic" w:eastAsia="Times New Roman" w:hAnsi="Century Gothic" w:cs="Arial"/>
          <w:lang w:eastAsia="es-SV"/>
        </w:rPr>
        <w:t xml:space="preserve"> </w:t>
      </w:r>
    </w:p>
    <w:p w:rsidR="00B476B8" w:rsidRPr="008D17D2" w:rsidRDefault="00B476B8" w:rsidP="00B476B8">
      <w:pPr>
        <w:spacing w:after="0" w:line="240" w:lineRule="auto"/>
        <w:ind w:left="1211"/>
        <w:jc w:val="both"/>
        <w:rPr>
          <w:rFonts w:ascii="Century Gothic" w:eastAsia="Times New Roman" w:hAnsi="Century Gothic" w:cs="Arial"/>
          <w:lang w:eastAsia="es-SV"/>
        </w:rPr>
      </w:pPr>
    </w:p>
    <w:p w:rsidR="00B476B8" w:rsidRPr="008D17D2" w:rsidRDefault="00B476B8" w:rsidP="005E46E5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El pasivo comprenderá:</w:t>
      </w:r>
    </w:p>
    <w:p w:rsidR="00B476B8" w:rsidRPr="008D17D2" w:rsidRDefault="00B476B8" w:rsidP="00B476B8">
      <w:pPr>
        <w:numPr>
          <w:ilvl w:val="1"/>
          <w:numId w:val="5"/>
        </w:num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Las deudas debidamente comprobadas en instrumento público</w:t>
      </w:r>
      <w:r w:rsidR="00FB02ED" w:rsidRPr="008D17D2">
        <w:rPr>
          <w:rFonts w:ascii="Century Gothic" w:eastAsia="Times New Roman" w:hAnsi="Century Gothic" w:cs="Arial"/>
          <w:lang w:eastAsia="es-SV"/>
        </w:rPr>
        <w:t xml:space="preserve">, las cuales deberán estar </w:t>
      </w:r>
      <w:r w:rsidRPr="008D17D2">
        <w:rPr>
          <w:rFonts w:ascii="Century Gothic" w:eastAsia="Times New Roman" w:hAnsi="Century Gothic" w:cs="Arial"/>
          <w:lang w:eastAsia="es-SV"/>
        </w:rPr>
        <w:t>registradas en contabilidad formal, cuand</w:t>
      </w:r>
      <w:r w:rsidR="0007251E" w:rsidRPr="008D17D2">
        <w:rPr>
          <w:rFonts w:ascii="Century Gothic" w:eastAsia="Times New Roman" w:hAnsi="Century Gothic" w:cs="Arial"/>
          <w:lang w:eastAsia="es-SV"/>
        </w:rPr>
        <w:t>o el contribuyente esté obligado</w:t>
      </w:r>
      <w:r w:rsidRPr="008D17D2">
        <w:rPr>
          <w:rFonts w:ascii="Century Gothic" w:eastAsia="Times New Roman" w:hAnsi="Century Gothic" w:cs="Arial"/>
          <w:lang w:eastAsia="es-SV"/>
        </w:rPr>
        <w:t xml:space="preserve"> a llevarla.</w:t>
      </w:r>
    </w:p>
    <w:p w:rsidR="00B476B8" w:rsidRPr="008D17D2" w:rsidRDefault="00B476B8" w:rsidP="00B476B8">
      <w:pPr>
        <w:numPr>
          <w:ilvl w:val="1"/>
          <w:numId w:val="5"/>
        </w:num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Las provisiones contables en contabilidad formal llevada de acuerdo a la ley.</w:t>
      </w:r>
    </w:p>
    <w:p w:rsidR="001A5176" w:rsidRDefault="001A5176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1A5176" w:rsidRPr="008D17D2" w:rsidRDefault="001A5176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031D7F" w:rsidRDefault="00453A3E" w:rsidP="00031D7F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L</w:t>
      </w:r>
      <w:r w:rsidR="00031D7F" w:rsidRPr="008D17D2">
        <w:rPr>
          <w:rFonts w:ascii="Century Gothic" w:eastAsia="Times New Roman" w:hAnsi="Century Gothic" w:cs="Arial"/>
          <w:lang w:eastAsia="es-SV"/>
        </w:rPr>
        <w:t xml:space="preserve">os </w:t>
      </w:r>
      <w:r w:rsidR="009057BB" w:rsidRPr="008D17D2">
        <w:rPr>
          <w:rFonts w:ascii="Century Gothic" w:eastAsia="Times New Roman" w:hAnsi="Century Gothic" w:cs="Arial"/>
          <w:lang w:eastAsia="es-SV"/>
        </w:rPr>
        <w:t xml:space="preserve">valores </w:t>
      </w:r>
      <w:r w:rsidR="00613F21" w:rsidRPr="008D17D2">
        <w:rPr>
          <w:rFonts w:ascii="Century Gothic" w:eastAsia="Times New Roman" w:hAnsi="Century Gothic" w:cs="Arial"/>
          <w:lang w:eastAsia="es-SV"/>
        </w:rPr>
        <w:t xml:space="preserve">de </w:t>
      </w:r>
      <w:r w:rsidR="00031D7F" w:rsidRPr="008D17D2">
        <w:rPr>
          <w:rFonts w:ascii="Century Gothic" w:eastAsia="Times New Roman" w:hAnsi="Century Gothic" w:cs="Arial"/>
          <w:lang w:eastAsia="es-SV"/>
        </w:rPr>
        <w:t>activos y pasivos se</w:t>
      </w:r>
      <w:r w:rsidR="00571F8E" w:rsidRPr="008D17D2">
        <w:rPr>
          <w:rFonts w:ascii="Century Gothic" w:eastAsia="Times New Roman" w:hAnsi="Century Gothic" w:cs="Arial"/>
          <w:lang w:eastAsia="es-SV"/>
        </w:rPr>
        <w:t xml:space="preserve"> determinarán</w:t>
      </w:r>
      <w:r w:rsidR="00031D7F" w:rsidRPr="008D17D2">
        <w:rPr>
          <w:rFonts w:ascii="Century Gothic" w:eastAsia="Times New Roman" w:hAnsi="Century Gothic" w:cs="Arial"/>
          <w:lang w:eastAsia="es-SV"/>
        </w:rPr>
        <w:t xml:space="preserve"> de acuerdo a lo dispuesto en la presente ley.</w:t>
      </w:r>
    </w:p>
    <w:p w:rsidR="005E46E5" w:rsidRPr="008D17D2" w:rsidRDefault="005E46E5" w:rsidP="00031D7F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7C68A2" w:rsidRPr="008D17D2" w:rsidRDefault="007C68A2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Bienes exentos</w:t>
      </w:r>
    </w:p>
    <w:p w:rsidR="007C68A2" w:rsidRPr="008D17D2" w:rsidRDefault="007C68A2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563C05" w:rsidRPr="008D17D2" w:rsidRDefault="007C68A2" w:rsidP="00F77412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val="es-ES"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lastRenderedPageBreak/>
        <w:t xml:space="preserve">Artículo </w:t>
      </w:r>
      <w:r w:rsidR="00070621" w:rsidRPr="008D17D2">
        <w:rPr>
          <w:rFonts w:ascii="Century Gothic" w:eastAsia="Times New Roman" w:hAnsi="Century Gothic" w:cs="Arial"/>
          <w:b/>
          <w:lang w:eastAsia="es-SV"/>
        </w:rPr>
        <w:t>5</w:t>
      </w:r>
      <w:r w:rsidRPr="008D17D2">
        <w:rPr>
          <w:rFonts w:ascii="Century Gothic" w:eastAsia="Times New Roman" w:hAnsi="Century Gothic" w:cs="Arial"/>
          <w:lang w:eastAsia="es-SV"/>
        </w:rPr>
        <w:t>.-</w:t>
      </w:r>
      <w:r w:rsidR="007B47EA" w:rsidRPr="008D17D2">
        <w:rPr>
          <w:rFonts w:ascii="Century Gothic" w:eastAsia="Times New Roman" w:hAnsi="Century Gothic" w:cs="Arial"/>
          <w:lang w:eastAsia="es-SV"/>
        </w:rPr>
        <w:t xml:space="preserve"> Están exentos del impuesto </w:t>
      </w:r>
      <w:r w:rsidR="00536277">
        <w:rPr>
          <w:rFonts w:ascii="Century Gothic" w:eastAsia="Times New Roman" w:hAnsi="Century Gothic" w:cs="Arial"/>
          <w:lang w:eastAsia="es-SV"/>
        </w:rPr>
        <w:t>los bienes siguientes:</w:t>
      </w:r>
    </w:p>
    <w:p w:rsidR="00563C05" w:rsidRPr="008D17D2" w:rsidRDefault="00563C05" w:rsidP="00563C05">
      <w:pPr>
        <w:spacing w:after="0" w:line="240" w:lineRule="auto"/>
        <w:ind w:left="1276"/>
        <w:jc w:val="both"/>
        <w:rPr>
          <w:rFonts w:ascii="Century Gothic" w:eastAsia="Times New Roman" w:hAnsi="Century Gothic" w:cs="Arial"/>
          <w:lang w:val="es-ES" w:eastAsia="es-SV"/>
        </w:rPr>
      </w:pPr>
    </w:p>
    <w:p w:rsidR="00563C05" w:rsidRPr="008D17D2" w:rsidRDefault="00536277" w:rsidP="00563C05">
      <w:pPr>
        <w:numPr>
          <w:ilvl w:val="1"/>
          <w:numId w:val="17"/>
        </w:numPr>
        <w:spacing w:after="0" w:line="240" w:lineRule="auto"/>
        <w:ind w:left="1843" w:hanging="567"/>
        <w:jc w:val="both"/>
        <w:rPr>
          <w:rFonts w:ascii="Century Gothic" w:eastAsia="Times New Roman" w:hAnsi="Century Gothic" w:cs="Arial"/>
          <w:lang w:val="es-ES" w:eastAsia="es-SV"/>
        </w:rPr>
      </w:pPr>
      <w:r>
        <w:rPr>
          <w:rFonts w:ascii="Century Gothic" w:hAnsi="Century Gothic" w:cs="Arial"/>
          <w:lang w:val="es-ES"/>
        </w:rPr>
        <w:t>Los títulos valores o instrumentos financieros emitidos por e</w:t>
      </w:r>
      <w:r w:rsidR="00563C05" w:rsidRPr="008D17D2">
        <w:rPr>
          <w:rFonts w:ascii="Century Gothic" w:hAnsi="Century Gothic" w:cs="Arial"/>
          <w:lang w:val="es-ES"/>
        </w:rPr>
        <w:t>l Estado</w:t>
      </w:r>
      <w:r>
        <w:rPr>
          <w:rFonts w:ascii="Century Gothic" w:hAnsi="Century Gothic" w:cs="Arial"/>
          <w:lang w:val="es-ES"/>
        </w:rPr>
        <w:t xml:space="preserve"> salvadoreño,</w:t>
      </w:r>
      <w:r w:rsidR="00563C05" w:rsidRPr="008D17D2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>el B</w:t>
      </w:r>
      <w:r w:rsidR="00563C05" w:rsidRPr="008D17D2">
        <w:rPr>
          <w:rFonts w:ascii="Century Gothic" w:hAnsi="Century Gothic" w:cs="Arial"/>
          <w:lang w:val="es-ES"/>
        </w:rPr>
        <w:t>anco Central de Reserva</w:t>
      </w:r>
      <w:r>
        <w:rPr>
          <w:rFonts w:ascii="Century Gothic" w:hAnsi="Century Gothic" w:cs="Arial"/>
          <w:lang w:val="es-ES"/>
        </w:rPr>
        <w:t xml:space="preserve"> de El Salvador</w:t>
      </w:r>
      <w:r w:rsidR="00563C05" w:rsidRPr="008D17D2">
        <w:rPr>
          <w:rFonts w:ascii="Century Gothic" w:hAnsi="Century Gothic" w:cs="Arial"/>
          <w:lang w:val="es-ES"/>
        </w:rPr>
        <w:t>, Municipalidades, Instituciones Autónomas, y los  fideicomisos administrados por éstos</w:t>
      </w:r>
      <w:r w:rsidR="007B47EA" w:rsidRPr="008D17D2">
        <w:rPr>
          <w:rFonts w:ascii="Century Gothic" w:hAnsi="Century Gothic" w:cs="Arial"/>
          <w:lang w:val="es-ES"/>
        </w:rPr>
        <w:t>.</w:t>
      </w:r>
    </w:p>
    <w:p w:rsidR="00563C05" w:rsidRPr="008D17D2" w:rsidRDefault="00563C05" w:rsidP="00563C05">
      <w:pPr>
        <w:spacing w:after="0" w:line="240" w:lineRule="auto"/>
        <w:ind w:left="1843"/>
        <w:jc w:val="both"/>
        <w:rPr>
          <w:rFonts w:ascii="Century Gothic" w:eastAsia="Times New Roman" w:hAnsi="Century Gothic" w:cs="Arial"/>
          <w:lang w:val="es-ES" w:eastAsia="es-SV"/>
        </w:rPr>
      </w:pPr>
    </w:p>
    <w:p w:rsidR="00563C05" w:rsidRPr="008D17D2" w:rsidRDefault="00841AA4" w:rsidP="00563C05">
      <w:pPr>
        <w:numPr>
          <w:ilvl w:val="1"/>
          <w:numId w:val="17"/>
        </w:numPr>
        <w:spacing w:after="0" w:line="240" w:lineRule="auto"/>
        <w:ind w:left="1843" w:hanging="567"/>
        <w:jc w:val="both"/>
        <w:rPr>
          <w:rFonts w:ascii="Century Gothic" w:eastAsia="Times New Roman" w:hAnsi="Century Gothic" w:cs="Arial"/>
          <w:lang w:val="es-ES" w:eastAsia="es-SV"/>
        </w:rPr>
      </w:pPr>
      <w:r>
        <w:rPr>
          <w:rFonts w:ascii="Century Gothic" w:eastAsia="Times New Roman" w:hAnsi="Century Gothic" w:cs="Arial"/>
          <w:lang w:val="es-ES" w:eastAsia="es-SV"/>
        </w:rPr>
        <w:t xml:space="preserve">Las </w:t>
      </w:r>
      <w:r w:rsidRPr="008D17D2">
        <w:rPr>
          <w:rFonts w:ascii="Century Gothic" w:eastAsia="Times New Roman" w:hAnsi="Century Gothic" w:cs="Arial"/>
          <w:lang w:val="es-ES" w:eastAsia="es-SV"/>
        </w:rPr>
        <w:t>participaciones, acciones y demás derechos, nominativos o a la orden</w:t>
      </w:r>
      <w:r>
        <w:rPr>
          <w:rFonts w:ascii="Century Gothic" w:eastAsia="Times New Roman" w:hAnsi="Century Gothic" w:cs="Arial"/>
          <w:lang w:val="es-ES" w:eastAsia="es-SV"/>
        </w:rPr>
        <w:t>, emitidos por las p</w:t>
      </w:r>
      <w:r w:rsidR="00563C05" w:rsidRPr="008D17D2">
        <w:rPr>
          <w:rFonts w:ascii="Century Gothic" w:eastAsia="Times New Roman" w:hAnsi="Century Gothic" w:cs="Arial"/>
          <w:lang w:val="es-ES" w:eastAsia="es-SV"/>
        </w:rPr>
        <w:t>ersonas jurídicas salvadoreñas</w:t>
      </w:r>
      <w:r w:rsidR="00556F69" w:rsidRPr="008D17D2">
        <w:rPr>
          <w:rFonts w:ascii="Century Gothic" w:eastAsia="Times New Roman" w:hAnsi="Century Gothic" w:cs="Arial"/>
          <w:lang w:val="es-ES" w:eastAsia="es-SV"/>
        </w:rPr>
        <w:t xml:space="preserve"> obligadas al pago del </w:t>
      </w:r>
      <w:r w:rsidR="00EF3E9B" w:rsidRPr="008D17D2">
        <w:rPr>
          <w:rFonts w:ascii="Century Gothic" w:eastAsia="Times New Roman" w:hAnsi="Century Gothic" w:cs="Arial"/>
          <w:lang w:val="es-ES" w:eastAsia="es-SV"/>
        </w:rPr>
        <w:t>impuesto establecido en esta ley</w:t>
      </w:r>
      <w:r w:rsidR="00BC53B9">
        <w:rPr>
          <w:rFonts w:ascii="Century Gothic" w:eastAsia="Times New Roman" w:hAnsi="Century Gothic" w:cs="Arial"/>
          <w:lang w:val="es-ES" w:eastAsia="es-SV"/>
        </w:rPr>
        <w:t>.</w:t>
      </w:r>
      <w:r w:rsidR="00556F69" w:rsidRPr="008D17D2">
        <w:rPr>
          <w:rFonts w:ascii="Century Gothic" w:eastAsia="Times New Roman" w:hAnsi="Century Gothic" w:cs="Arial"/>
          <w:lang w:val="es-ES" w:eastAsia="es-SV"/>
        </w:rPr>
        <w:t xml:space="preserve"> </w:t>
      </w:r>
    </w:p>
    <w:p w:rsidR="00563C05" w:rsidRDefault="00563C05" w:rsidP="00563C05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</w:p>
    <w:p w:rsidR="00B432B9" w:rsidRPr="00B432B9" w:rsidRDefault="00B432B9" w:rsidP="00563C05">
      <w:pPr>
        <w:spacing w:after="0" w:line="240" w:lineRule="auto"/>
        <w:ind w:firstLine="851"/>
        <w:jc w:val="both"/>
        <w:rPr>
          <w:rFonts w:ascii="Century Gothic" w:hAnsi="Century Gothic" w:cs="Arial"/>
          <w:color w:val="FF0000"/>
          <w:lang w:val="es-ES"/>
        </w:rPr>
      </w:pPr>
      <w:r w:rsidRPr="00B432B9">
        <w:rPr>
          <w:rFonts w:ascii="Century Gothic" w:hAnsi="Century Gothic" w:cs="Arial"/>
          <w:color w:val="FF0000"/>
          <w:lang w:val="es-ES"/>
        </w:rPr>
        <w:t>Los sujetos que posean bienes a que se refiere el numeral 2 anterior, deberán exigir constancia del emisor de que se encuentra obligad</w:t>
      </w:r>
      <w:r>
        <w:rPr>
          <w:rFonts w:ascii="Century Gothic" w:hAnsi="Century Gothic" w:cs="Arial"/>
          <w:color w:val="FF0000"/>
          <w:lang w:val="es-ES"/>
        </w:rPr>
        <w:t>o</w:t>
      </w:r>
      <w:r w:rsidRPr="00B432B9">
        <w:rPr>
          <w:rFonts w:ascii="Century Gothic" w:hAnsi="Century Gothic" w:cs="Arial"/>
          <w:color w:val="FF0000"/>
          <w:lang w:val="es-ES"/>
        </w:rPr>
        <w:t xml:space="preserve"> al pago del impuesto regulado en la presente ley.</w:t>
      </w:r>
    </w:p>
    <w:p w:rsidR="00B432B9" w:rsidRPr="008D17D2" w:rsidRDefault="00B432B9" w:rsidP="00563C05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</w:p>
    <w:p w:rsidR="00761A68" w:rsidRPr="008D17D2" w:rsidRDefault="007B47EA" w:rsidP="00563C05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 xml:space="preserve">Para gozar de la exención a que se refiere este </w:t>
      </w:r>
      <w:r w:rsidR="002E294F" w:rsidRPr="008D17D2">
        <w:rPr>
          <w:rFonts w:ascii="Century Gothic" w:hAnsi="Century Gothic" w:cs="Arial"/>
          <w:lang w:val="es-ES"/>
        </w:rPr>
        <w:t>a</w:t>
      </w:r>
      <w:r w:rsidRPr="008D17D2">
        <w:rPr>
          <w:rFonts w:ascii="Century Gothic" w:hAnsi="Century Gothic" w:cs="Arial"/>
          <w:lang w:val="es-ES"/>
        </w:rPr>
        <w:t xml:space="preserve">rtículo, el contribuyente deberá </w:t>
      </w:r>
      <w:r w:rsidR="007F13A0" w:rsidRPr="008D17D2">
        <w:rPr>
          <w:rFonts w:ascii="Century Gothic" w:hAnsi="Century Gothic" w:cs="Arial"/>
          <w:lang w:val="es-ES"/>
        </w:rPr>
        <w:t xml:space="preserve">aportar </w:t>
      </w:r>
      <w:r w:rsidRPr="008D17D2">
        <w:rPr>
          <w:rFonts w:ascii="Century Gothic" w:hAnsi="Century Gothic" w:cs="Arial"/>
          <w:lang w:val="es-ES"/>
        </w:rPr>
        <w:t xml:space="preserve">las pruebas </w:t>
      </w:r>
      <w:r w:rsidR="007F13A0" w:rsidRPr="008D17D2">
        <w:rPr>
          <w:rFonts w:ascii="Century Gothic" w:hAnsi="Century Gothic" w:cs="Arial"/>
          <w:lang w:val="es-ES"/>
        </w:rPr>
        <w:t xml:space="preserve">a </w:t>
      </w:r>
      <w:r w:rsidRPr="008D17D2">
        <w:rPr>
          <w:rFonts w:ascii="Century Gothic" w:hAnsi="Century Gothic" w:cs="Arial"/>
          <w:lang w:val="es-ES"/>
        </w:rPr>
        <w:t>la Dirección General de Impuestos Internos</w:t>
      </w:r>
      <w:r w:rsidR="007F13A0" w:rsidRPr="008D17D2">
        <w:rPr>
          <w:rFonts w:ascii="Century Gothic" w:hAnsi="Century Gothic" w:cs="Arial"/>
          <w:lang w:val="es-ES"/>
        </w:rPr>
        <w:t>, cuando esta lo requiera en el ejercicio de sus facultades.</w:t>
      </w:r>
    </w:p>
    <w:p w:rsidR="007C68A2" w:rsidRPr="008D17D2" w:rsidRDefault="007C68A2" w:rsidP="00420BB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420BBB" w:rsidRPr="008D17D2" w:rsidRDefault="00420BBB" w:rsidP="00420BBB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 xml:space="preserve">Bienes </w:t>
      </w:r>
      <w:r w:rsidR="00866625" w:rsidRPr="008D17D2">
        <w:rPr>
          <w:rFonts w:ascii="Century Gothic" w:eastAsia="Times New Roman" w:hAnsi="Century Gothic" w:cs="Arial"/>
          <w:b/>
          <w:lang w:eastAsia="es-SV"/>
        </w:rPr>
        <w:t>gravados</w:t>
      </w:r>
    </w:p>
    <w:p w:rsidR="00420BBB" w:rsidRPr="008D17D2" w:rsidRDefault="00420BBB" w:rsidP="00420BB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2777E7" w:rsidRDefault="00377376" w:rsidP="00E11FB2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Artículo </w:t>
      </w:r>
      <w:r w:rsidR="00DA3E6A" w:rsidRPr="008D17D2">
        <w:rPr>
          <w:rFonts w:ascii="Century Gothic" w:eastAsia="Times New Roman" w:hAnsi="Century Gothic" w:cs="Arial"/>
          <w:lang w:eastAsia="es-SV"/>
        </w:rPr>
        <w:t>6</w:t>
      </w:r>
      <w:r w:rsidRPr="008D17D2">
        <w:rPr>
          <w:rFonts w:ascii="Century Gothic" w:eastAsia="Times New Roman" w:hAnsi="Century Gothic" w:cs="Arial"/>
          <w:lang w:eastAsia="es-SV"/>
        </w:rPr>
        <w:t xml:space="preserve">.- </w:t>
      </w:r>
      <w:r w:rsidR="00E82D23" w:rsidRPr="008D17D2">
        <w:rPr>
          <w:rFonts w:ascii="Century Gothic" w:hAnsi="Century Gothic" w:cs="Arial"/>
        </w:rPr>
        <w:t>Forman parte del activo y en consecuencia s</w:t>
      </w:r>
      <w:r w:rsidR="00930D75" w:rsidRPr="008D17D2">
        <w:rPr>
          <w:rFonts w:ascii="Century Gothic" w:hAnsi="Century Gothic" w:cs="Arial"/>
        </w:rPr>
        <w:t xml:space="preserve">on </w:t>
      </w:r>
      <w:r w:rsidR="00866625" w:rsidRPr="008D17D2">
        <w:rPr>
          <w:rFonts w:ascii="Century Gothic" w:hAnsi="Century Gothic" w:cs="Arial"/>
        </w:rPr>
        <w:t>gravados</w:t>
      </w:r>
      <w:r w:rsidR="00930D75" w:rsidRPr="008D17D2">
        <w:rPr>
          <w:rFonts w:ascii="Century Gothic" w:hAnsi="Century Gothic" w:cs="Arial"/>
        </w:rPr>
        <w:t xml:space="preserve"> con el impuesto</w:t>
      </w:r>
      <w:r w:rsidR="00E11FB2">
        <w:rPr>
          <w:rFonts w:ascii="Century Gothic" w:hAnsi="Century Gothic" w:cs="Arial"/>
        </w:rPr>
        <w:t>:</w:t>
      </w:r>
      <w:r w:rsidR="00E82D23" w:rsidRPr="008D17D2">
        <w:rPr>
          <w:rFonts w:ascii="Century Gothic" w:hAnsi="Century Gothic" w:cs="Arial"/>
        </w:rPr>
        <w:t xml:space="preserve"> </w:t>
      </w:r>
    </w:p>
    <w:p w:rsidR="002777E7" w:rsidRPr="008D17D2" w:rsidRDefault="002777E7" w:rsidP="002777E7">
      <w:pPr>
        <w:tabs>
          <w:tab w:val="left" w:pos="1276"/>
        </w:tabs>
        <w:spacing w:after="0" w:line="240" w:lineRule="auto"/>
        <w:ind w:left="1276"/>
        <w:jc w:val="both"/>
        <w:rPr>
          <w:rFonts w:ascii="Century Gothic" w:eastAsia="Times New Roman" w:hAnsi="Century Gothic" w:cs="Arial"/>
          <w:lang w:eastAsia="es-SV"/>
        </w:rPr>
      </w:pPr>
    </w:p>
    <w:p w:rsidR="00E11FB2" w:rsidRDefault="002777E7" w:rsidP="00E11FB2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Century Gothic" w:hAnsi="Century Gothic" w:cs="Arial"/>
        </w:rPr>
      </w:pPr>
      <w:r w:rsidRPr="008D17D2">
        <w:rPr>
          <w:rFonts w:ascii="Century Gothic" w:hAnsi="Century Gothic" w:cs="Arial"/>
        </w:rPr>
        <w:t xml:space="preserve">Los bienes </w:t>
      </w:r>
      <w:r>
        <w:rPr>
          <w:rFonts w:ascii="Century Gothic" w:hAnsi="Century Gothic" w:cs="Arial"/>
        </w:rPr>
        <w:t>muebles e inmuebles</w:t>
      </w:r>
      <w:r w:rsidRPr="002777E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matriculados, registrados, ubicados o </w:t>
      </w:r>
      <w:r w:rsidR="00E11FB2">
        <w:rPr>
          <w:rFonts w:ascii="Century Gothic" w:hAnsi="Century Gothic" w:cs="Arial"/>
        </w:rPr>
        <w:t>utilizados</w:t>
      </w:r>
      <w:r>
        <w:rPr>
          <w:rFonts w:ascii="Century Gothic" w:hAnsi="Century Gothic" w:cs="Arial"/>
        </w:rPr>
        <w:t xml:space="preserve"> en el territorio salvadoreño o en el exterior, cuando el titular o poseedor tuviere domicilio en El Salvador.</w:t>
      </w:r>
    </w:p>
    <w:p w:rsidR="00E11FB2" w:rsidRDefault="00E11FB2" w:rsidP="00E11FB2">
      <w:pPr>
        <w:tabs>
          <w:tab w:val="left" w:pos="1276"/>
        </w:tabs>
        <w:spacing w:after="0" w:line="240" w:lineRule="auto"/>
        <w:ind w:left="1276"/>
        <w:jc w:val="both"/>
        <w:rPr>
          <w:rFonts w:ascii="Century Gothic" w:hAnsi="Century Gothic" w:cs="Arial"/>
        </w:rPr>
      </w:pPr>
    </w:p>
    <w:p w:rsidR="002777E7" w:rsidRPr="00E11FB2" w:rsidRDefault="00E11FB2" w:rsidP="002777E7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Century Gothic" w:hAnsi="Century Gothic" w:cs="Arial"/>
        </w:rPr>
      </w:pPr>
      <w:r w:rsidRPr="00E11FB2">
        <w:rPr>
          <w:rFonts w:ascii="Century Gothic" w:hAnsi="Century Gothic" w:cs="Arial"/>
        </w:rPr>
        <w:t xml:space="preserve">Los bienes </w:t>
      </w:r>
      <w:r w:rsidR="002777E7" w:rsidRPr="00E11FB2">
        <w:rPr>
          <w:rFonts w:ascii="Century Gothic" w:hAnsi="Century Gothic" w:cs="Arial"/>
        </w:rPr>
        <w:t xml:space="preserve">matriculados, registrados, ubicados o </w:t>
      </w:r>
      <w:r>
        <w:rPr>
          <w:rFonts w:ascii="Century Gothic" w:hAnsi="Century Gothic" w:cs="Arial"/>
        </w:rPr>
        <w:t>utilizados</w:t>
      </w:r>
      <w:r w:rsidR="002777E7" w:rsidRPr="00E11FB2">
        <w:rPr>
          <w:rFonts w:ascii="Century Gothic" w:hAnsi="Century Gothic" w:cs="Arial"/>
        </w:rPr>
        <w:t xml:space="preserve"> en el territorio salvadoreño</w:t>
      </w:r>
      <w:r>
        <w:rPr>
          <w:rFonts w:ascii="Century Gothic" w:hAnsi="Century Gothic" w:cs="Arial"/>
        </w:rPr>
        <w:t xml:space="preserve">, cuando el titular o poseedor no tuviere </w:t>
      </w:r>
      <w:r w:rsidRPr="00E11FB2">
        <w:rPr>
          <w:rFonts w:ascii="Century Gothic" w:hAnsi="Century Gothic" w:cs="Arial"/>
        </w:rPr>
        <w:t xml:space="preserve"> domicilio en el país</w:t>
      </w:r>
      <w:r>
        <w:rPr>
          <w:rFonts w:ascii="Century Gothic" w:hAnsi="Century Gothic" w:cs="Arial"/>
        </w:rPr>
        <w:t>.</w:t>
      </w:r>
    </w:p>
    <w:p w:rsidR="002777E7" w:rsidRDefault="002777E7" w:rsidP="002777E7">
      <w:pPr>
        <w:tabs>
          <w:tab w:val="left" w:pos="1276"/>
        </w:tabs>
        <w:spacing w:after="0" w:line="240" w:lineRule="auto"/>
        <w:jc w:val="both"/>
        <w:rPr>
          <w:rFonts w:ascii="Century Gothic" w:hAnsi="Century Gothic" w:cs="Arial"/>
        </w:rPr>
      </w:pPr>
    </w:p>
    <w:p w:rsidR="00E11FB2" w:rsidRDefault="00681B59" w:rsidP="00E11FB2">
      <w:pPr>
        <w:tabs>
          <w:tab w:val="left" w:pos="1276"/>
        </w:tabs>
        <w:spacing w:after="0" w:line="240" w:lineRule="auto"/>
        <w:ind w:firstLine="1276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los efectos de esta ley, l</w:t>
      </w:r>
      <w:r w:rsidR="00E11FB2">
        <w:rPr>
          <w:rFonts w:ascii="Century Gothic" w:hAnsi="Century Gothic" w:cs="Arial"/>
        </w:rPr>
        <w:t>o</w:t>
      </w:r>
      <w:r>
        <w:rPr>
          <w:rFonts w:ascii="Century Gothic" w:hAnsi="Century Gothic" w:cs="Arial"/>
        </w:rPr>
        <w:t>s</w:t>
      </w:r>
      <w:r w:rsidR="00E11FB2">
        <w:rPr>
          <w:rFonts w:ascii="Century Gothic" w:hAnsi="Century Gothic" w:cs="Arial"/>
        </w:rPr>
        <w:t xml:space="preserve"> bienes muebles, incluyen los bienes corporales, incorporales o </w:t>
      </w:r>
      <w:r>
        <w:rPr>
          <w:rFonts w:ascii="Century Gothic" w:hAnsi="Century Gothic" w:cs="Arial"/>
        </w:rPr>
        <w:t>derechos.</w:t>
      </w:r>
      <w:r w:rsidR="00E11FB2">
        <w:rPr>
          <w:rFonts w:ascii="Century Gothic" w:hAnsi="Century Gothic" w:cs="Arial"/>
        </w:rPr>
        <w:t xml:space="preserve"> </w:t>
      </w:r>
    </w:p>
    <w:p w:rsidR="00C37059" w:rsidRDefault="00C37059" w:rsidP="00E11FB2">
      <w:pPr>
        <w:tabs>
          <w:tab w:val="left" w:pos="1276"/>
        </w:tabs>
        <w:spacing w:after="0" w:line="240" w:lineRule="auto"/>
        <w:ind w:firstLine="1276"/>
        <w:jc w:val="both"/>
        <w:rPr>
          <w:rFonts w:ascii="Century Gothic" w:hAnsi="Century Gothic" w:cs="Arial"/>
        </w:rPr>
      </w:pPr>
    </w:p>
    <w:p w:rsidR="00C37059" w:rsidRDefault="00C37059" w:rsidP="002777E7">
      <w:pPr>
        <w:tabs>
          <w:tab w:val="left" w:pos="1276"/>
        </w:tabs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</w:p>
    <w:p w:rsidR="007A6A6E" w:rsidRPr="008D17D2" w:rsidRDefault="007A6A6E" w:rsidP="002777E7">
      <w:pPr>
        <w:tabs>
          <w:tab w:val="left" w:pos="1276"/>
        </w:tabs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 xml:space="preserve">Reglas </w:t>
      </w:r>
      <w:r w:rsidR="009057BB" w:rsidRPr="008D17D2">
        <w:rPr>
          <w:rFonts w:ascii="Century Gothic" w:eastAsia="Times New Roman" w:hAnsi="Century Gothic" w:cs="Arial"/>
          <w:b/>
          <w:lang w:eastAsia="es-SV"/>
        </w:rPr>
        <w:t xml:space="preserve">para </w:t>
      </w:r>
      <w:r w:rsidR="00367787" w:rsidRPr="008D17D2">
        <w:rPr>
          <w:rFonts w:ascii="Century Gothic" w:eastAsia="Times New Roman" w:hAnsi="Century Gothic" w:cs="Arial"/>
          <w:b/>
          <w:lang w:eastAsia="es-SV"/>
        </w:rPr>
        <w:t>determinar los</w:t>
      </w:r>
      <w:r w:rsidR="0031331C" w:rsidRPr="008D17D2">
        <w:rPr>
          <w:rFonts w:ascii="Century Gothic" w:eastAsia="Times New Roman" w:hAnsi="Century Gothic" w:cs="Arial"/>
          <w:b/>
          <w:lang w:eastAsia="es-SV"/>
        </w:rPr>
        <w:t xml:space="preserve"> </w:t>
      </w:r>
      <w:r w:rsidR="009057BB" w:rsidRPr="008D17D2">
        <w:rPr>
          <w:rFonts w:ascii="Century Gothic" w:eastAsia="Times New Roman" w:hAnsi="Century Gothic" w:cs="Arial"/>
          <w:b/>
          <w:lang w:eastAsia="es-SV"/>
        </w:rPr>
        <w:t>valores de activos y pasivos</w:t>
      </w:r>
    </w:p>
    <w:p w:rsidR="007A6A6E" w:rsidRPr="008D17D2" w:rsidRDefault="007A6A6E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7A6A6E" w:rsidRPr="008D17D2" w:rsidRDefault="007A6A6E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 xml:space="preserve">Artículo </w:t>
      </w:r>
      <w:r w:rsidR="00DA3E6A" w:rsidRPr="008D17D2">
        <w:rPr>
          <w:rFonts w:ascii="Century Gothic" w:eastAsia="Times New Roman" w:hAnsi="Century Gothic" w:cs="Arial"/>
          <w:b/>
          <w:lang w:eastAsia="es-SV"/>
        </w:rPr>
        <w:t>7</w:t>
      </w:r>
      <w:r w:rsidRPr="008D17D2">
        <w:rPr>
          <w:rFonts w:ascii="Century Gothic" w:eastAsia="Times New Roman" w:hAnsi="Century Gothic" w:cs="Arial"/>
          <w:lang w:eastAsia="es-SV"/>
        </w:rPr>
        <w:t xml:space="preserve">.- Para efectos del impuesto, se establecen las siguientes reglas </w:t>
      </w:r>
      <w:r w:rsidR="009057BB" w:rsidRPr="008D17D2">
        <w:rPr>
          <w:rFonts w:ascii="Century Gothic" w:eastAsia="Times New Roman" w:hAnsi="Century Gothic" w:cs="Arial"/>
          <w:lang w:eastAsia="es-SV"/>
        </w:rPr>
        <w:t xml:space="preserve">para </w:t>
      </w:r>
      <w:r w:rsidR="00367787" w:rsidRPr="008D17D2">
        <w:rPr>
          <w:rFonts w:ascii="Century Gothic" w:eastAsia="Times New Roman" w:hAnsi="Century Gothic" w:cs="Arial"/>
          <w:lang w:eastAsia="es-SV"/>
        </w:rPr>
        <w:t>determinar l</w:t>
      </w:r>
      <w:r w:rsidR="009057BB" w:rsidRPr="008D17D2">
        <w:rPr>
          <w:rFonts w:ascii="Century Gothic" w:eastAsia="Times New Roman" w:hAnsi="Century Gothic" w:cs="Arial"/>
          <w:lang w:eastAsia="es-SV"/>
        </w:rPr>
        <w:t>os valores de activos y pasivos:</w:t>
      </w:r>
    </w:p>
    <w:p w:rsidR="007A6A6E" w:rsidRPr="008D17D2" w:rsidRDefault="007A6A6E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031D7F" w:rsidRPr="008D17D2" w:rsidRDefault="009057BB" w:rsidP="00031D7F">
      <w:pPr>
        <w:numPr>
          <w:ilvl w:val="0"/>
          <w:numId w:val="20"/>
        </w:num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Los contribuyentes </w:t>
      </w:r>
      <w:r w:rsidR="00031D7F" w:rsidRPr="008D17D2">
        <w:rPr>
          <w:rFonts w:ascii="Century Gothic" w:eastAsia="Times New Roman" w:hAnsi="Century Gothic" w:cs="Arial"/>
          <w:lang w:eastAsia="es-SV"/>
        </w:rPr>
        <w:t>obligados a llevar contabilidad formal</w:t>
      </w:r>
      <w:r w:rsidR="00C262D5" w:rsidRPr="008D17D2">
        <w:rPr>
          <w:rFonts w:ascii="Century Gothic" w:eastAsia="Times New Roman" w:hAnsi="Century Gothic" w:cs="Arial"/>
          <w:lang w:eastAsia="es-SV"/>
        </w:rPr>
        <w:t xml:space="preserve">, </w:t>
      </w:r>
      <w:r w:rsidR="00346C6B" w:rsidRPr="008D17D2">
        <w:rPr>
          <w:rFonts w:ascii="Century Gothic" w:eastAsia="Times New Roman" w:hAnsi="Century Gothic" w:cs="Arial"/>
          <w:lang w:eastAsia="es-SV"/>
        </w:rPr>
        <w:t>determina</w:t>
      </w:r>
      <w:r w:rsidR="004C0A9D" w:rsidRPr="008D17D2">
        <w:rPr>
          <w:rFonts w:ascii="Century Gothic" w:eastAsia="Times New Roman" w:hAnsi="Century Gothic" w:cs="Arial"/>
          <w:lang w:eastAsia="es-SV"/>
        </w:rPr>
        <w:t xml:space="preserve">rán </w:t>
      </w:r>
      <w:r w:rsidR="00C262D5" w:rsidRPr="008D17D2">
        <w:rPr>
          <w:rFonts w:ascii="Century Gothic" w:eastAsia="Times New Roman" w:hAnsi="Century Gothic" w:cs="Arial"/>
          <w:lang w:eastAsia="es-SV"/>
        </w:rPr>
        <w:t xml:space="preserve">los valores </w:t>
      </w:r>
      <w:r w:rsidR="00346C6B" w:rsidRPr="008D17D2">
        <w:rPr>
          <w:rFonts w:ascii="Century Gothic" w:eastAsia="Times New Roman" w:hAnsi="Century Gothic" w:cs="Arial"/>
          <w:lang w:eastAsia="es-SV"/>
        </w:rPr>
        <w:t xml:space="preserve">de </w:t>
      </w:r>
      <w:r w:rsidR="00031D7F" w:rsidRPr="008D17D2">
        <w:rPr>
          <w:rFonts w:ascii="Century Gothic" w:eastAsia="Times New Roman" w:hAnsi="Century Gothic" w:cs="Arial"/>
          <w:lang w:eastAsia="es-SV"/>
        </w:rPr>
        <w:t>activos y pasivos de acuerdo a</w:t>
      </w:r>
      <w:r w:rsidR="00004273">
        <w:rPr>
          <w:rFonts w:ascii="Century Gothic" w:eastAsia="Times New Roman" w:hAnsi="Century Gothic" w:cs="Arial"/>
          <w:lang w:eastAsia="es-SV"/>
        </w:rPr>
        <w:t xml:space="preserve"> </w:t>
      </w:r>
      <w:r w:rsidR="00031D7F" w:rsidRPr="008D17D2">
        <w:rPr>
          <w:rFonts w:ascii="Century Gothic" w:eastAsia="Times New Roman" w:hAnsi="Century Gothic" w:cs="Arial"/>
          <w:lang w:eastAsia="es-SV"/>
        </w:rPr>
        <w:t>las normas contables que establezca el Consejo de Vigilancia de la Profesión de la</w:t>
      </w:r>
      <w:r w:rsidR="00AB5567" w:rsidRPr="008D17D2">
        <w:rPr>
          <w:rFonts w:ascii="Century Gothic" w:eastAsia="Times New Roman" w:hAnsi="Century Gothic" w:cs="Arial"/>
          <w:lang w:eastAsia="es-SV"/>
        </w:rPr>
        <w:t xml:space="preserve"> Contaduría Pública y Auditoría</w:t>
      </w:r>
      <w:r w:rsidR="00031D7F" w:rsidRPr="008D17D2">
        <w:rPr>
          <w:rFonts w:ascii="Century Gothic" w:eastAsia="Times New Roman" w:hAnsi="Century Gothic" w:cs="Arial"/>
          <w:lang w:eastAsia="es-SV"/>
        </w:rPr>
        <w:t>.</w:t>
      </w:r>
      <w:r w:rsidR="00004273">
        <w:rPr>
          <w:rFonts w:ascii="Century Gothic" w:eastAsia="Times New Roman" w:hAnsi="Century Gothic" w:cs="Arial"/>
          <w:lang w:eastAsia="es-SV"/>
        </w:rPr>
        <w:t xml:space="preserve"> </w:t>
      </w:r>
    </w:p>
    <w:p w:rsidR="00031D7F" w:rsidRPr="008D17D2" w:rsidRDefault="00031D7F" w:rsidP="00031D7F">
      <w:pPr>
        <w:spacing w:after="0" w:line="240" w:lineRule="auto"/>
        <w:ind w:left="1211"/>
        <w:jc w:val="both"/>
        <w:rPr>
          <w:rFonts w:ascii="Century Gothic" w:eastAsia="Times New Roman" w:hAnsi="Century Gothic" w:cs="Arial"/>
          <w:lang w:eastAsia="es-SV"/>
        </w:rPr>
      </w:pPr>
    </w:p>
    <w:p w:rsidR="00031D7F" w:rsidRPr="008D17D2" w:rsidRDefault="00031D7F" w:rsidP="00031D7F">
      <w:pPr>
        <w:numPr>
          <w:ilvl w:val="0"/>
          <w:numId w:val="20"/>
        </w:num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Para aquellos contribuyentes no obligados a llevar contabilidad formal o que posean activos personales </w:t>
      </w:r>
      <w:r w:rsidR="00C262D5" w:rsidRPr="008D17D2">
        <w:rPr>
          <w:rFonts w:ascii="Century Gothic" w:eastAsia="Times New Roman" w:hAnsi="Century Gothic" w:cs="Arial"/>
          <w:lang w:eastAsia="es-SV"/>
        </w:rPr>
        <w:t xml:space="preserve">que por técnica contable </w:t>
      </w:r>
      <w:r w:rsidRPr="008D17D2">
        <w:rPr>
          <w:rFonts w:ascii="Century Gothic" w:eastAsia="Times New Roman" w:hAnsi="Century Gothic" w:cs="Arial"/>
          <w:lang w:eastAsia="es-SV"/>
        </w:rPr>
        <w:t xml:space="preserve">no </w:t>
      </w:r>
      <w:r w:rsidR="00C262D5" w:rsidRPr="008D17D2">
        <w:rPr>
          <w:rFonts w:ascii="Century Gothic" w:eastAsia="Times New Roman" w:hAnsi="Century Gothic" w:cs="Arial"/>
          <w:lang w:eastAsia="es-SV"/>
        </w:rPr>
        <w:t xml:space="preserve">estén </w:t>
      </w:r>
      <w:r w:rsidRPr="008D17D2">
        <w:rPr>
          <w:rFonts w:ascii="Century Gothic" w:eastAsia="Times New Roman" w:hAnsi="Century Gothic" w:cs="Arial"/>
          <w:lang w:eastAsia="es-SV"/>
        </w:rPr>
        <w:lastRenderedPageBreak/>
        <w:t xml:space="preserve">registrados en contabilidad, se </w:t>
      </w:r>
      <w:r w:rsidR="0028200C" w:rsidRPr="008D17D2">
        <w:rPr>
          <w:rFonts w:ascii="Century Gothic" w:eastAsia="Times New Roman" w:hAnsi="Century Gothic" w:cs="Arial"/>
          <w:lang w:eastAsia="es-SV"/>
        </w:rPr>
        <w:t xml:space="preserve">determinarán </w:t>
      </w:r>
      <w:r w:rsidR="00C262D5" w:rsidRPr="008D17D2">
        <w:rPr>
          <w:rFonts w:ascii="Century Gothic" w:eastAsia="Times New Roman" w:hAnsi="Century Gothic" w:cs="Arial"/>
          <w:lang w:eastAsia="es-SV"/>
        </w:rPr>
        <w:t xml:space="preserve">los valores de activo </w:t>
      </w:r>
      <w:r w:rsidRPr="008D17D2">
        <w:rPr>
          <w:rFonts w:ascii="Century Gothic" w:eastAsia="Times New Roman" w:hAnsi="Century Gothic" w:cs="Arial"/>
          <w:lang w:eastAsia="es-SV"/>
        </w:rPr>
        <w:t>a su valor nominal más las adiciones y mejoras</w:t>
      </w:r>
      <w:r w:rsidR="00BF1035">
        <w:rPr>
          <w:rFonts w:ascii="Century Gothic" w:eastAsia="Times New Roman" w:hAnsi="Century Gothic" w:cs="Arial"/>
          <w:lang w:eastAsia="es-SV"/>
        </w:rPr>
        <w:t>,</w:t>
      </w:r>
      <w:r w:rsidRPr="008D17D2">
        <w:rPr>
          <w:rFonts w:ascii="Century Gothic" w:eastAsia="Times New Roman" w:hAnsi="Century Gothic" w:cs="Arial"/>
          <w:lang w:eastAsia="es-SV"/>
        </w:rPr>
        <w:t xml:space="preserve"> menos las depreciaciones o amortizaciones comprobables</w:t>
      </w:r>
      <w:r w:rsidR="00BF1035">
        <w:rPr>
          <w:rFonts w:ascii="Century Gothic" w:eastAsia="Times New Roman" w:hAnsi="Century Gothic" w:cs="Arial"/>
          <w:lang w:eastAsia="es-SV"/>
        </w:rPr>
        <w:t>.</w:t>
      </w: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BF1035">
        <w:rPr>
          <w:rFonts w:ascii="Century Gothic" w:eastAsia="Times New Roman" w:hAnsi="Century Gothic" w:cs="Arial"/>
          <w:lang w:eastAsia="es-SV"/>
        </w:rPr>
        <w:t>L</w:t>
      </w:r>
      <w:r w:rsidRPr="008D17D2">
        <w:rPr>
          <w:rFonts w:ascii="Century Gothic" w:eastAsia="Times New Roman" w:hAnsi="Century Gothic" w:cs="Arial"/>
          <w:lang w:eastAsia="es-SV"/>
        </w:rPr>
        <w:t xml:space="preserve">os pasivos se reconocerán al valor del respectivo instrumento </w:t>
      </w:r>
      <w:r w:rsidR="004F6130" w:rsidRPr="004F6130">
        <w:rPr>
          <w:rFonts w:ascii="Century Gothic" w:eastAsia="Times New Roman" w:hAnsi="Century Gothic" w:cs="Arial"/>
          <w:b/>
          <w:color w:val="1F497D"/>
          <w:lang w:eastAsia="es-SV"/>
        </w:rPr>
        <w:t>público</w:t>
      </w:r>
      <w:r w:rsidR="004F6130">
        <w:rPr>
          <w:rFonts w:ascii="Century Gothic" w:eastAsia="Times New Roman" w:hAnsi="Century Gothic" w:cs="Arial"/>
          <w:lang w:eastAsia="es-SV"/>
        </w:rPr>
        <w:t xml:space="preserve"> </w:t>
      </w:r>
      <w:r w:rsidR="00BF1035">
        <w:rPr>
          <w:rFonts w:ascii="Century Gothic" w:eastAsia="Times New Roman" w:hAnsi="Century Gothic" w:cs="Arial"/>
          <w:lang w:eastAsia="es-SV"/>
        </w:rPr>
        <w:t>disminuyendo</w:t>
      </w:r>
      <w:r w:rsidRPr="008D17D2">
        <w:rPr>
          <w:rFonts w:ascii="Century Gothic" w:eastAsia="Times New Roman" w:hAnsi="Century Gothic" w:cs="Arial"/>
          <w:lang w:eastAsia="es-SV"/>
        </w:rPr>
        <w:t xml:space="preserve"> los pagos efectuados.</w:t>
      </w:r>
    </w:p>
    <w:p w:rsidR="00031D7F" w:rsidRPr="008D17D2" w:rsidRDefault="00031D7F" w:rsidP="00031D7F">
      <w:pPr>
        <w:spacing w:after="0" w:line="240" w:lineRule="auto"/>
        <w:ind w:left="1211"/>
        <w:jc w:val="both"/>
        <w:rPr>
          <w:rFonts w:ascii="Century Gothic" w:eastAsia="Times New Roman" w:hAnsi="Century Gothic" w:cs="Arial"/>
          <w:lang w:eastAsia="es-SV"/>
        </w:rPr>
      </w:pPr>
    </w:p>
    <w:p w:rsidR="00031D7F" w:rsidRPr="008D17D2" w:rsidRDefault="00031D7F" w:rsidP="00031D7F">
      <w:pPr>
        <w:numPr>
          <w:ilvl w:val="0"/>
          <w:numId w:val="20"/>
        </w:num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En todo caso </w:t>
      </w:r>
      <w:r w:rsidR="002A2F8A" w:rsidRPr="008D17D2">
        <w:rPr>
          <w:rFonts w:ascii="Century Gothic" w:eastAsia="Times New Roman" w:hAnsi="Century Gothic" w:cs="Arial"/>
          <w:lang w:eastAsia="es-SV"/>
        </w:rPr>
        <w:t xml:space="preserve">se </w:t>
      </w:r>
      <w:r w:rsidRPr="008D17D2">
        <w:rPr>
          <w:rFonts w:ascii="Century Gothic" w:eastAsia="Times New Roman" w:hAnsi="Century Gothic" w:cs="Arial"/>
          <w:lang w:eastAsia="es-SV"/>
        </w:rPr>
        <w:t xml:space="preserve">considerarán las reglas de valuación </w:t>
      </w:r>
      <w:r w:rsidR="002A2F8A" w:rsidRPr="008D17D2">
        <w:rPr>
          <w:rFonts w:ascii="Century Gothic" w:eastAsia="Times New Roman" w:hAnsi="Century Gothic" w:cs="Arial"/>
          <w:lang w:eastAsia="es-SV"/>
        </w:rPr>
        <w:t>siguientes:</w:t>
      </w:r>
    </w:p>
    <w:p w:rsidR="00031D7F" w:rsidRPr="008D17D2" w:rsidRDefault="00031D7F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4A1578" w:rsidRDefault="004A1578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 xml:space="preserve">Los inmuebles </w:t>
      </w:r>
      <w:r w:rsidR="00545CF8" w:rsidRPr="00292C0D">
        <w:rPr>
          <w:rFonts w:ascii="Century Gothic" w:hAnsi="Century Gothic" w:cs="Arial"/>
          <w:color w:val="FF0000"/>
          <w:lang w:val="es-ES"/>
        </w:rPr>
        <w:t xml:space="preserve"> se </w:t>
      </w:r>
      <w:r>
        <w:rPr>
          <w:rFonts w:ascii="Century Gothic" w:hAnsi="Century Gothic" w:cs="Arial"/>
          <w:color w:val="FF0000"/>
          <w:lang w:val="es-ES"/>
        </w:rPr>
        <w:t xml:space="preserve">valuarán </w:t>
      </w:r>
      <w:r w:rsidR="002013C1" w:rsidRPr="002013C1">
        <w:rPr>
          <w:rFonts w:ascii="Century Gothic" w:hAnsi="Century Gothic" w:cs="Arial"/>
          <w:b/>
          <w:color w:val="1F497D"/>
          <w:lang w:val="es-ES"/>
        </w:rPr>
        <w:t>por el sujeto pasivo</w:t>
      </w:r>
      <w:r w:rsidR="002013C1">
        <w:rPr>
          <w:rFonts w:ascii="Century Gothic" w:hAnsi="Century Gothic" w:cs="Arial"/>
          <w:color w:val="FF0000"/>
          <w:lang w:val="es-ES"/>
        </w:rPr>
        <w:t xml:space="preserve"> </w:t>
      </w:r>
      <w:r>
        <w:rPr>
          <w:rFonts w:ascii="Century Gothic" w:hAnsi="Century Gothic" w:cs="Arial"/>
          <w:color w:val="FF0000"/>
          <w:lang w:val="es-ES"/>
        </w:rPr>
        <w:t>con base a cualquiera de los siguientes métodos:</w:t>
      </w:r>
    </w:p>
    <w:p w:rsidR="004A1578" w:rsidRDefault="004A1578" w:rsidP="004A1578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 xml:space="preserve">Al valor pericial, elaborado por </w:t>
      </w:r>
      <w:r w:rsidR="00394FBF">
        <w:rPr>
          <w:rFonts w:ascii="Century Gothic" w:hAnsi="Century Gothic" w:cs="Arial"/>
          <w:color w:val="FF0000"/>
          <w:lang w:val="es-ES"/>
        </w:rPr>
        <w:t>un</w:t>
      </w:r>
      <w:r>
        <w:rPr>
          <w:rFonts w:ascii="Century Gothic" w:hAnsi="Century Gothic" w:cs="Arial"/>
          <w:color w:val="FF0000"/>
          <w:lang w:val="es-ES"/>
        </w:rPr>
        <w:t xml:space="preserve"> perito registrado en la Superintendencia del Sistema Financiero.</w:t>
      </w:r>
    </w:p>
    <w:p w:rsidR="0063696A" w:rsidRDefault="004A1578" w:rsidP="004A1578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Al</w:t>
      </w:r>
      <w:r w:rsidR="00545CF8" w:rsidRPr="00292C0D">
        <w:rPr>
          <w:rFonts w:ascii="Century Gothic" w:hAnsi="Century Gothic" w:cs="Arial"/>
          <w:color w:val="FF0000"/>
          <w:lang w:val="es-ES"/>
        </w:rPr>
        <w:t xml:space="preserve"> valor </w:t>
      </w:r>
      <w:r w:rsidR="00CA30A2" w:rsidRPr="00292C0D">
        <w:rPr>
          <w:rFonts w:ascii="Century Gothic" w:hAnsi="Century Gothic" w:cs="Arial"/>
          <w:color w:val="FF0000"/>
          <w:lang w:val="es-ES"/>
        </w:rPr>
        <w:t>neto de depreciación ajustado a</w:t>
      </w:r>
      <w:r w:rsidR="00926C6F" w:rsidRPr="00292C0D">
        <w:rPr>
          <w:rFonts w:ascii="Century Gothic" w:hAnsi="Century Gothic" w:cs="Arial"/>
          <w:color w:val="FF0000"/>
          <w:lang w:val="es-ES"/>
        </w:rPr>
        <w:t xml:space="preserve"> </w:t>
      </w:r>
      <w:r w:rsidR="00CA30A2" w:rsidRPr="00292C0D">
        <w:rPr>
          <w:rFonts w:ascii="Century Gothic" w:hAnsi="Century Gothic" w:cs="Arial"/>
          <w:color w:val="FF0000"/>
          <w:lang w:val="es-ES"/>
        </w:rPr>
        <w:t>l</w:t>
      </w:r>
      <w:r w:rsidR="00926C6F" w:rsidRPr="00292C0D">
        <w:rPr>
          <w:rFonts w:ascii="Century Gothic" w:hAnsi="Century Gothic" w:cs="Arial"/>
          <w:color w:val="FF0000"/>
          <w:lang w:val="es-ES"/>
        </w:rPr>
        <w:t xml:space="preserve">as variaciones </w:t>
      </w:r>
      <w:r w:rsidR="00313220">
        <w:rPr>
          <w:rFonts w:ascii="Century Gothic" w:hAnsi="Century Gothic" w:cs="Arial"/>
          <w:color w:val="FF0000"/>
          <w:lang w:val="es-ES"/>
        </w:rPr>
        <w:t xml:space="preserve">anuales </w:t>
      </w:r>
      <w:r w:rsidR="00926C6F" w:rsidRPr="00292C0D">
        <w:rPr>
          <w:rFonts w:ascii="Century Gothic" w:hAnsi="Century Gothic" w:cs="Arial"/>
          <w:color w:val="FF0000"/>
          <w:lang w:val="es-ES"/>
        </w:rPr>
        <w:t xml:space="preserve">del </w:t>
      </w:r>
      <w:r w:rsidR="00CA30A2" w:rsidRPr="00292C0D">
        <w:rPr>
          <w:rFonts w:ascii="Century Gothic" w:hAnsi="Century Gothic" w:cs="Arial"/>
          <w:color w:val="FF0000"/>
          <w:lang w:val="es-ES"/>
        </w:rPr>
        <w:t>índice de precios</w:t>
      </w:r>
      <w:r w:rsidR="0063696A">
        <w:rPr>
          <w:rFonts w:ascii="Century Gothic" w:hAnsi="Century Gothic" w:cs="Arial"/>
          <w:color w:val="FF0000"/>
          <w:lang w:val="es-ES"/>
        </w:rPr>
        <w:t xml:space="preserve"> al consumidor</w:t>
      </w:r>
      <w:r w:rsidR="00CD072C">
        <w:rPr>
          <w:rFonts w:ascii="Century Gothic" w:hAnsi="Century Gothic" w:cs="Arial"/>
          <w:color w:val="FF0000"/>
          <w:lang w:val="es-ES"/>
        </w:rPr>
        <w:t>,</w:t>
      </w:r>
      <w:r w:rsidR="00313220">
        <w:rPr>
          <w:rFonts w:ascii="Century Gothic" w:hAnsi="Century Gothic" w:cs="Arial"/>
          <w:color w:val="FF0000"/>
          <w:lang w:val="es-ES"/>
        </w:rPr>
        <w:t xml:space="preserve"> publicado por la Dirección General de Estadísticas y Censos</w:t>
      </w:r>
      <w:r w:rsidR="00CA30A2" w:rsidRPr="00292C0D">
        <w:rPr>
          <w:rFonts w:ascii="Century Gothic" w:hAnsi="Century Gothic" w:cs="Arial"/>
          <w:color w:val="FF0000"/>
          <w:lang w:val="es-ES"/>
        </w:rPr>
        <w:t>.</w:t>
      </w:r>
      <w:r w:rsidR="00CD072C">
        <w:rPr>
          <w:rFonts w:ascii="Century Gothic" w:hAnsi="Century Gothic" w:cs="Arial"/>
          <w:color w:val="FF0000"/>
          <w:lang w:val="es-ES"/>
        </w:rPr>
        <w:t xml:space="preserve"> El Ministerio de Hacienda establecerá las normas de actualización con base a dicho índice. </w:t>
      </w:r>
      <w:r w:rsidR="00CA30A2" w:rsidRPr="00292C0D">
        <w:rPr>
          <w:rFonts w:ascii="Century Gothic" w:hAnsi="Century Gothic" w:cs="Arial"/>
          <w:color w:val="FF0000"/>
          <w:lang w:val="es-ES"/>
        </w:rPr>
        <w:t xml:space="preserve"> </w:t>
      </w:r>
    </w:p>
    <w:p w:rsidR="00B33753" w:rsidRDefault="00B33753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 xml:space="preserve">En los </w:t>
      </w:r>
      <w:r w:rsidR="002C67F6">
        <w:rPr>
          <w:rFonts w:ascii="Century Gothic" w:hAnsi="Century Gothic" w:cs="Arial"/>
          <w:color w:val="FF0000"/>
          <w:lang w:val="es-ES"/>
        </w:rPr>
        <w:t>títulos valores y demás instrumentos financieros</w:t>
      </w:r>
      <w:r>
        <w:rPr>
          <w:rFonts w:ascii="Century Gothic" w:hAnsi="Century Gothic" w:cs="Arial"/>
          <w:color w:val="FF0000"/>
          <w:lang w:val="es-ES"/>
        </w:rPr>
        <w:t>:</w:t>
      </w:r>
    </w:p>
    <w:p w:rsidR="00B33753" w:rsidRDefault="00E04A9B" w:rsidP="00B33753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Acciones y Valores que cotizan en bolsa de valores: S</w:t>
      </w:r>
      <w:r w:rsidR="002C67F6">
        <w:rPr>
          <w:rFonts w:ascii="Century Gothic" w:hAnsi="Century Gothic" w:cs="Arial"/>
          <w:color w:val="FF0000"/>
          <w:lang w:val="es-ES"/>
        </w:rPr>
        <w:t>e val</w:t>
      </w:r>
      <w:r>
        <w:rPr>
          <w:rFonts w:ascii="Century Gothic" w:hAnsi="Century Gothic" w:cs="Arial"/>
          <w:color w:val="FF0000"/>
          <w:lang w:val="es-ES"/>
        </w:rPr>
        <w:t>uarán</w:t>
      </w:r>
      <w:r w:rsidR="002C67F6">
        <w:rPr>
          <w:rFonts w:ascii="Century Gothic" w:hAnsi="Century Gothic" w:cs="Arial"/>
          <w:color w:val="FF0000"/>
          <w:lang w:val="es-ES"/>
        </w:rPr>
        <w:t xml:space="preserve"> al promedio de cotización del último trimes</w:t>
      </w:r>
      <w:r w:rsidR="00B33753">
        <w:rPr>
          <w:rFonts w:ascii="Century Gothic" w:hAnsi="Century Gothic" w:cs="Arial"/>
          <w:color w:val="FF0000"/>
          <w:lang w:val="es-ES"/>
        </w:rPr>
        <w:t xml:space="preserve">tre inmediato anterior al cierre del ejercicio fiscal o período de imposición que se declara. </w:t>
      </w:r>
    </w:p>
    <w:p w:rsidR="002C67F6" w:rsidRDefault="00E04A9B" w:rsidP="00B33753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Acciones que no cotizan en bolsa de valores:</w:t>
      </w:r>
      <w:r w:rsidR="00B33753">
        <w:rPr>
          <w:rFonts w:ascii="Century Gothic" w:hAnsi="Century Gothic" w:cs="Arial"/>
          <w:color w:val="FF0000"/>
          <w:lang w:val="es-ES"/>
        </w:rPr>
        <w:t xml:space="preserve"> se valuarán al valor en libros, de acuerdo al balance del último ejercicio de la sociedad a la </w:t>
      </w:r>
      <w:r>
        <w:rPr>
          <w:rFonts w:ascii="Century Gothic" w:hAnsi="Century Gothic" w:cs="Arial"/>
          <w:color w:val="FF0000"/>
          <w:lang w:val="es-ES"/>
        </w:rPr>
        <w:t>cual corresponden.</w:t>
      </w:r>
    </w:p>
    <w:p w:rsidR="00E04A9B" w:rsidRDefault="00E04A9B" w:rsidP="00B33753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Participaciones sociales: se valuarán por el valor resultante del último bala</w:t>
      </w:r>
      <w:r w:rsidR="008A121C">
        <w:rPr>
          <w:rFonts w:ascii="Century Gothic" w:hAnsi="Century Gothic" w:cs="Arial"/>
          <w:color w:val="FF0000"/>
          <w:lang w:val="es-ES"/>
        </w:rPr>
        <w:t>nce de la entidad a la cual corresponde.</w:t>
      </w:r>
    </w:p>
    <w:p w:rsidR="00D56BB3" w:rsidRDefault="00D56BB3" w:rsidP="00B33753">
      <w:pPr>
        <w:numPr>
          <w:ilvl w:val="1"/>
          <w:numId w:val="7"/>
        </w:numPr>
        <w:tabs>
          <w:tab w:val="left" w:pos="2268"/>
        </w:tabs>
        <w:spacing w:after="240" w:line="240" w:lineRule="auto"/>
        <w:jc w:val="both"/>
        <w:rPr>
          <w:rFonts w:ascii="Century Gothic" w:hAnsi="Century Gothic" w:cs="Arial"/>
          <w:color w:val="FF0000"/>
          <w:lang w:val="es-ES"/>
        </w:rPr>
      </w:pPr>
      <w:r>
        <w:rPr>
          <w:rFonts w:ascii="Century Gothic" w:hAnsi="Century Gothic" w:cs="Arial"/>
          <w:color w:val="FF0000"/>
          <w:lang w:val="es-ES"/>
        </w:rPr>
        <w:t>Títulos de renta fija y Bonos: se valuarán a su valor nominal más el valor de los intereses devengados y no cobrados, a la fecha del cierre del ejercicio o período de imposición.</w:t>
      </w:r>
    </w:p>
    <w:p w:rsidR="00A64872" w:rsidRPr="008D17D2" w:rsidRDefault="00D30DE5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</w:rPr>
        <w:t xml:space="preserve">En los contratos de </w:t>
      </w:r>
      <w:r w:rsidR="00A626A7" w:rsidRPr="008D17D2">
        <w:rPr>
          <w:rFonts w:ascii="Century Gothic" w:hAnsi="Century Gothic" w:cs="Arial"/>
        </w:rPr>
        <w:t>arrendamientos con promesa de venta</w:t>
      </w:r>
      <w:r w:rsidRPr="008D17D2">
        <w:rPr>
          <w:rFonts w:ascii="Century Gothic" w:hAnsi="Century Gothic" w:cs="Arial"/>
        </w:rPr>
        <w:t>,</w:t>
      </w:r>
      <w:r w:rsidR="00A626A7" w:rsidRPr="008D17D2">
        <w:rPr>
          <w:rFonts w:ascii="Century Gothic" w:hAnsi="Century Gothic" w:cs="Arial"/>
        </w:rPr>
        <w:t xml:space="preserve">  opción de compra</w:t>
      </w:r>
      <w:r w:rsidRPr="008D17D2">
        <w:rPr>
          <w:rFonts w:ascii="Century Gothic" w:hAnsi="Century Gothic" w:cs="Arial"/>
        </w:rPr>
        <w:t xml:space="preserve"> o financieros</w:t>
      </w:r>
      <w:r w:rsidR="00A64872" w:rsidRPr="008D17D2">
        <w:rPr>
          <w:rFonts w:ascii="Century Gothic" w:hAnsi="Century Gothic" w:cs="Arial"/>
        </w:rPr>
        <w:t>:</w:t>
      </w:r>
    </w:p>
    <w:p w:rsidR="00A626A7" w:rsidRPr="008D17D2" w:rsidRDefault="00A64872" w:rsidP="00A64872">
      <w:pPr>
        <w:numPr>
          <w:ilvl w:val="0"/>
          <w:numId w:val="21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</w:rPr>
        <w:t xml:space="preserve">El </w:t>
      </w:r>
      <w:r w:rsidR="00D30DE5" w:rsidRPr="008D17D2">
        <w:rPr>
          <w:rFonts w:ascii="Century Gothic" w:hAnsi="Century Gothic" w:cs="Arial"/>
        </w:rPr>
        <w:t xml:space="preserve">arrendador </w:t>
      </w:r>
      <w:r w:rsidR="00A626A7" w:rsidRPr="008D17D2">
        <w:rPr>
          <w:rFonts w:ascii="Century Gothic" w:hAnsi="Century Gothic" w:cs="Arial"/>
        </w:rPr>
        <w:t xml:space="preserve"> </w:t>
      </w:r>
      <w:r w:rsidR="0028200C" w:rsidRPr="008D17D2">
        <w:rPr>
          <w:rFonts w:ascii="Century Gothic" w:hAnsi="Century Gothic" w:cs="Arial"/>
        </w:rPr>
        <w:t xml:space="preserve">incluirá </w:t>
      </w:r>
      <w:r w:rsidR="00D30DE5" w:rsidRPr="008D17D2">
        <w:rPr>
          <w:rFonts w:ascii="Century Gothic" w:hAnsi="Century Gothic" w:cs="Arial"/>
        </w:rPr>
        <w:t xml:space="preserve">en el activo el bien en arrendamiento al precio contratado </w:t>
      </w:r>
      <w:r w:rsidRPr="008D17D2">
        <w:rPr>
          <w:rFonts w:ascii="Century Gothic" w:hAnsi="Century Gothic" w:cs="Arial"/>
        </w:rPr>
        <w:t xml:space="preserve">y </w:t>
      </w:r>
      <w:r w:rsidR="00D30DE5" w:rsidRPr="008D17D2">
        <w:rPr>
          <w:rFonts w:ascii="Century Gothic" w:hAnsi="Century Gothic" w:cs="Arial"/>
        </w:rPr>
        <w:t xml:space="preserve">en el pasivo el </w:t>
      </w:r>
      <w:r w:rsidRPr="008D17D2">
        <w:rPr>
          <w:rFonts w:ascii="Century Gothic" w:hAnsi="Century Gothic" w:cs="Arial"/>
        </w:rPr>
        <w:t xml:space="preserve">monto de los pagos  recibidos, </w:t>
      </w:r>
      <w:r w:rsidR="00D30DE5" w:rsidRPr="008D17D2">
        <w:rPr>
          <w:rFonts w:ascii="Century Gothic" w:hAnsi="Century Gothic" w:cs="Arial"/>
        </w:rPr>
        <w:t>mientras no se haya efectuado la venta.</w:t>
      </w:r>
    </w:p>
    <w:p w:rsidR="00D30DE5" w:rsidRPr="008D17D2" w:rsidRDefault="00D30DE5" w:rsidP="00A64872">
      <w:pPr>
        <w:numPr>
          <w:ilvl w:val="0"/>
          <w:numId w:val="21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</w:rPr>
        <w:t xml:space="preserve">El arrendatario </w:t>
      </w:r>
      <w:r w:rsidR="0028200C" w:rsidRPr="008D17D2">
        <w:rPr>
          <w:rFonts w:ascii="Century Gothic" w:hAnsi="Century Gothic" w:cs="Arial"/>
        </w:rPr>
        <w:t xml:space="preserve">incluirá </w:t>
      </w:r>
      <w:r w:rsidRPr="008D17D2">
        <w:rPr>
          <w:rFonts w:ascii="Century Gothic" w:hAnsi="Century Gothic" w:cs="Arial"/>
        </w:rPr>
        <w:t xml:space="preserve">en el activo </w:t>
      </w:r>
      <w:r w:rsidR="007B73A7" w:rsidRPr="008D17D2">
        <w:rPr>
          <w:rFonts w:ascii="Century Gothic" w:hAnsi="Century Gothic" w:cs="Arial"/>
        </w:rPr>
        <w:t>las cantidades entregadas a cuenta del precio del bien</w:t>
      </w:r>
      <w:r w:rsidRPr="008D17D2">
        <w:rPr>
          <w:rFonts w:ascii="Century Gothic" w:hAnsi="Century Gothic" w:cs="Arial"/>
        </w:rPr>
        <w:t xml:space="preserve"> y en el pasivo el monto de las cuotas pendientes de pago.</w:t>
      </w:r>
    </w:p>
    <w:p w:rsidR="00D30DE5" w:rsidRPr="008D17D2" w:rsidRDefault="00A64872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/>
        </w:rPr>
        <w:lastRenderedPageBreak/>
        <w:t>En los contratos de promesa de venta o de ventas a plazo</w:t>
      </w:r>
      <w:r w:rsidR="00D30DE5" w:rsidRPr="008D17D2">
        <w:rPr>
          <w:rFonts w:ascii="Century Gothic" w:hAnsi="Century Gothic"/>
        </w:rPr>
        <w:t>,</w:t>
      </w:r>
      <w:r w:rsidR="00A626A7" w:rsidRPr="008D17D2">
        <w:rPr>
          <w:rFonts w:ascii="Century Gothic" w:hAnsi="Century Gothic"/>
        </w:rPr>
        <w:br/>
      </w:r>
      <w:r w:rsidR="00A626A7" w:rsidRPr="008D17D2">
        <w:rPr>
          <w:rFonts w:ascii="Century Gothic" w:hAnsi="Century Gothic" w:cs="Arial"/>
        </w:rPr>
        <w:t xml:space="preserve">el vendedor </w:t>
      </w:r>
      <w:r w:rsidR="0028200C" w:rsidRPr="008D17D2">
        <w:rPr>
          <w:rFonts w:ascii="Century Gothic" w:hAnsi="Century Gothic" w:cs="Arial"/>
        </w:rPr>
        <w:t>incluirá e</w:t>
      </w:r>
      <w:r w:rsidR="00A626A7" w:rsidRPr="008D17D2">
        <w:rPr>
          <w:rFonts w:ascii="Century Gothic" w:hAnsi="Century Gothic" w:cs="Arial"/>
        </w:rPr>
        <w:t xml:space="preserve">n el activo el saldo no percibido del precio; y el comprador </w:t>
      </w:r>
      <w:r w:rsidR="008B71D5" w:rsidRPr="008D17D2">
        <w:rPr>
          <w:rFonts w:ascii="Century Gothic" w:hAnsi="Century Gothic" w:cs="Arial"/>
        </w:rPr>
        <w:t>incluirá</w:t>
      </w:r>
      <w:r w:rsidR="00A626A7" w:rsidRPr="008D17D2">
        <w:rPr>
          <w:rFonts w:ascii="Century Gothic" w:hAnsi="Century Gothic" w:cs="Arial"/>
        </w:rPr>
        <w:t xml:space="preserve"> en el </w:t>
      </w:r>
      <w:r w:rsidR="00D30DE5" w:rsidRPr="008D17D2">
        <w:rPr>
          <w:rFonts w:ascii="Century Gothic" w:hAnsi="Century Gothic" w:cs="Arial"/>
        </w:rPr>
        <w:t>activo el bien al precio contratado y en el p</w:t>
      </w:r>
      <w:r w:rsidR="00A626A7" w:rsidRPr="008D17D2">
        <w:rPr>
          <w:rFonts w:ascii="Century Gothic" w:hAnsi="Century Gothic" w:cs="Arial"/>
        </w:rPr>
        <w:t xml:space="preserve">asivo el saldo </w:t>
      </w:r>
      <w:r w:rsidR="002C597B">
        <w:rPr>
          <w:rFonts w:ascii="Century Gothic" w:hAnsi="Century Gothic" w:cs="Arial"/>
        </w:rPr>
        <w:t>adeudado</w:t>
      </w:r>
      <w:r w:rsidR="00A626A7" w:rsidRPr="008D17D2">
        <w:rPr>
          <w:rFonts w:ascii="Century Gothic" w:hAnsi="Century Gothic" w:cs="Arial"/>
        </w:rPr>
        <w:t xml:space="preserve"> del precio</w:t>
      </w:r>
      <w:r w:rsidR="008B2BF8" w:rsidRPr="008D17D2">
        <w:rPr>
          <w:rFonts w:ascii="Century Gothic" w:hAnsi="Century Gothic" w:cs="Arial"/>
        </w:rPr>
        <w:t>.</w:t>
      </w:r>
    </w:p>
    <w:p w:rsidR="00F50D2B" w:rsidRPr="00F50D2B" w:rsidRDefault="00A626A7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F50D2B">
        <w:rPr>
          <w:rFonts w:ascii="Century Gothic" w:hAnsi="Century Gothic" w:cs="Arial"/>
        </w:rPr>
        <w:t>En el caso de bienes poseídos en comunidad, cada condómino incluirá en su activo la parte que le corresponda en la titularidad de tales bienes</w:t>
      </w:r>
      <w:r w:rsidR="002C597B" w:rsidRPr="00F50D2B">
        <w:rPr>
          <w:rFonts w:ascii="Century Gothic" w:hAnsi="Century Gothic" w:cs="Arial"/>
        </w:rPr>
        <w:t>.</w:t>
      </w:r>
      <w:r w:rsidR="00A04B1A" w:rsidRPr="00F50D2B">
        <w:rPr>
          <w:rFonts w:ascii="Century Gothic" w:hAnsi="Century Gothic" w:cs="Arial"/>
        </w:rPr>
        <w:t xml:space="preserve"> </w:t>
      </w:r>
    </w:p>
    <w:p w:rsidR="00C262D5" w:rsidRPr="00F50D2B" w:rsidRDefault="00C262D5" w:rsidP="00A626A7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F50D2B">
        <w:rPr>
          <w:rFonts w:ascii="Century Gothic" w:eastAsia="Times New Roman" w:hAnsi="Century Gothic" w:cs="Arial"/>
          <w:lang w:eastAsia="es-SV"/>
        </w:rPr>
        <w:t>Usufructo y nuda propiedad:</w:t>
      </w:r>
      <w:r w:rsidRPr="00F50D2B">
        <w:rPr>
          <w:rFonts w:ascii="Century Gothic" w:eastAsia="Times New Roman" w:hAnsi="Century Gothic" w:cs="Arial"/>
          <w:lang w:val="es-ES" w:eastAsia="es-SV"/>
        </w:rPr>
        <w:t xml:space="preserve"> </w:t>
      </w:r>
    </w:p>
    <w:p w:rsidR="00C262D5" w:rsidRPr="008D17D2" w:rsidRDefault="00C262D5" w:rsidP="002C597B">
      <w:pPr>
        <w:numPr>
          <w:ilvl w:val="1"/>
          <w:numId w:val="7"/>
        </w:numPr>
        <w:tabs>
          <w:tab w:val="left" w:pos="2268"/>
        </w:tabs>
        <w:spacing w:after="240" w:line="240" w:lineRule="auto"/>
        <w:ind w:hanging="59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Cuando de un bien corresponda a una persona el usufructo vitalicio y a la otra la nuda propiedad, el valor de dichos derechos se determinará aplicando la siguiente tabla:</w:t>
      </w:r>
    </w:p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tbl>
      <w:tblPr>
        <w:tblpPr w:leftFromText="141" w:rightFromText="141" w:vertAnchor="text" w:horzAnchor="page" w:tblpX="3606" w:tblpYSpec="center"/>
        <w:tblW w:w="3448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275"/>
        <w:gridCol w:w="1701"/>
      </w:tblGrid>
      <w:tr w:rsidR="00C262D5" w:rsidRPr="008D17D2" w:rsidTr="00D250B3">
        <w:trPr>
          <w:trHeight w:val="852"/>
          <w:tblCellSpacing w:w="0" w:type="dxa"/>
        </w:trPr>
        <w:tc>
          <w:tcPr>
            <w:tcW w:w="2559" w:type="pct"/>
          </w:tcPr>
          <w:p w:rsidR="00C262D5" w:rsidRPr="008D17D2" w:rsidRDefault="00FA690C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noProof/>
                <w:lang w:eastAsia="es-SV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csj.gob.s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sj.gob.s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2D5" w:rsidRPr="008D17D2">
              <w:rPr>
                <w:rFonts w:ascii="Century Gothic" w:hAnsi="Century Gothic" w:cs="Arial"/>
                <w:lang w:val="es-ES"/>
              </w:rPr>
              <w:t xml:space="preserve"> EDAD DEL USUFRUCTUARIO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 xml:space="preserve">VALOR DEL </w:t>
            </w:r>
            <w:r w:rsidRPr="008D17D2">
              <w:rPr>
                <w:rFonts w:ascii="Century Gothic" w:hAnsi="Century Gothic" w:cs="Arial"/>
                <w:lang w:val="es-ES"/>
              </w:rPr>
              <w:br/>
              <w:t>USUFRUCTO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VALOR DE LA NUDA PROPIEDAD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E22E9F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E22E9F">
              <w:rPr>
                <w:rFonts w:ascii="Century Gothic" w:hAnsi="Century Gothic" w:cs="Arial"/>
                <w:b/>
                <w:strike/>
                <w:color w:val="1F497D"/>
                <w:lang w:val="es-ES"/>
              </w:rPr>
              <w:t>Más de 10 años</w:t>
            </w:r>
            <w:r w:rsidRPr="00E22E9F">
              <w:rPr>
                <w:rFonts w:ascii="Century Gothic" w:hAnsi="Century Gothic" w:cs="Arial"/>
                <w:b/>
                <w:color w:val="1F497D"/>
                <w:lang w:val="es-ES"/>
              </w:rPr>
              <w:t xml:space="preserve"> </w:t>
            </w:r>
            <w:r w:rsidR="00E22E9F" w:rsidRPr="00E22E9F">
              <w:rPr>
                <w:rFonts w:ascii="Century Gothic" w:hAnsi="Century Gothic" w:cs="Arial"/>
                <w:b/>
                <w:color w:val="1F497D"/>
                <w:lang w:val="es-ES"/>
              </w:rPr>
              <w:t>H</w:t>
            </w:r>
            <w:r w:rsidRPr="00E22E9F">
              <w:rPr>
                <w:rFonts w:ascii="Century Gothic" w:hAnsi="Century Gothic" w:cs="Arial"/>
                <w:b/>
                <w:color w:val="1F497D"/>
                <w:lang w:val="es-ES"/>
              </w:rPr>
              <w:t>asta</w:t>
            </w:r>
            <w:r w:rsidRPr="008D17D2">
              <w:rPr>
                <w:rFonts w:ascii="Century Gothic" w:hAnsi="Century Gothic" w:cs="Arial"/>
                <w:lang w:val="es-ES"/>
              </w:rPr>
              <w:t xml:space="preserve"> 20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7/10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3/10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20 años hasta 30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6/10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4/10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30 años hasta 40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5/10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5/10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40 años hasta 50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4/10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6/10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50 años hasta 60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3/10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7/10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60 años hasta 70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2/10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8/10</w:t>
            </w:r>
          </w:p>
        </w:tc>
      </w:tr>
      <w:tr w:rsidR="00C262D5" w:rsidRPr="008D17D2" w:rsidTr="00D250B3">
        <w:trPr>
          <w:tblCellSpacing w:w="0" w:type="dxa"/>
        </w:trPr>
        <w:tc>
          <w:tcPr>
            <w:tcW w:w="2559" w:type="pct"/>
          </w:tcPr>
          <w:p w:rsidR="00C262D5" w:rsidRPr="008D17D2" w:rsidRDefault="00C262D5" w:rsidP="00C262D5">
            <w:pPr>
              <w:jc w:val="both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Más de 70 años cumplidos</w:t>
            </w:r>
          </w:p>
        </w:tc>
        <w:tc>
          <w:tcPr>
            <w:tcW w:w="1046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1/10</w:t>
            </w:r>
          </w:p>
        </w:tc>
        <w:tc>
          <w:tcPr>
            <w:tcW w:w="1395" w:type="pct"/>
          </w:tcPr>
          <w:p w:rsidR="00C262D5" w:rsidRPr="008D17D2" w:rsidRDefault="00C262D5" w:rsidP="00C262D5">
            <w:pPr>
              <w:jc w:val="center"/>
              <w:rPr>
                <w:rFonts w:ascii="Century Gothic" w:hAnsi="Century Gothic" w:cs="Arial"/>
                <w:lang w:val="es-ES"/>
              </w:rPr>
            </w:pPr>
            <w:r w:rsidRPr="008D17D2">
              <w:rPr>
                <w:rFonts w:ascii="Century Gothic" w:hAnsi="Century Gothic" w:cs="Arial"/>
                <w:lang w:val="es-ES"/>
              </w:rPr>
              <w:t>9/10</w:t>
            </w:r>
          </w:p>
        </w:tc>
      </w:tr>
    </w:tbl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C262D5" w:rsidRPr="008D17D2" w:rsidRDefault="00C262D5" w:rsidP="007A6A6E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7A6A6E" w:rsidRPr="008D17D2" w:rsidRDefault="007470DD" w:rsidP="00C262D5">
      <w:pPr>
        <w:numPr>
          <w:ilvl w:val="1"/>
          <w:numId w:val="7"/>
        </w:numPr>
        <w:tabs>
          <w:tab w:val="left" w:pos="2268"/>
        </w:tabs>
        <w:spacing w:after="240" w:line="240" w:lineRule="auto"/>
        <w:ind w:hanging="59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 xml:space="preserve">Si el usufructo vitalicio correspondiere simultáneamente a varias personas, se procederá así: se determinará el valor que corresponde a la nuda propiedad, calculándose únicamente, conforme a la tabla precedente, en relación con la edad del menor de los usufructuarios, el resto </w:t>
      </w:r>
      <w:r w:rsidR="008B2BF8" w:rsidRPr="008D17D2">
        <w:rPr>
          <w:rFonts w:ascii="Century Gothic" w:hAnsi="Century Gothic" w:cs="Arial"/>
          <w:lang w:val="es-ES"/>
        </w:rPr>
        <w:t xml:space="preserve">será el valor del usufructo, el cual </w:t>
      </w:r>
      <w:r w:rsidRPr="008D17D2">
        <w:rPr>
          <w:rFonts w:ascii="Century Gothic" w:hAnsi="Century Gothic" w:cs="Arial"/>
          <w:lang w:val="es-ES"/>
        </w:rPr>
        <w:t>se dividirá entre el número de usufructuarios</w:t>
      </w:r>
      <w:r w:rsidR="008B2BF8" w:rsidRPr="008D17D2">
        <w:rPr>
          <w:rFonts w:ascii="Century Gothic" w:hAnsi="Century Gothic" w:cs="Arial"/>
          <w:lang w:val="es-ES"/>
        </w:rPr>
        <w:t>, para efectos de la determinación del patrimonio</w:t>
      </w:r>
      <w:r w:rsidR="00F50D2B">
        <w:rPr>
          <w:rFonts w:ascii="Century Gothic" w:hAnsi="Century Gothic" w:cs="Arial"/>
          <w:lang w:val="es-ES"/>
        </w:rPr>
        <w:t>.</w:t>
      </w:r>
      <w:r w:rsidR="008D4017" w:rsidRPr="008D17D2">
        <w:rPr>
          <w:rFonts w:ascii="Century Gothic" w:hAnsi="Century Gothic" w:cs="Arial"/>
          <w:lang w:val="es-ES"/>
        </w:rPr>
        <w:t xml:space="preserve"> </w:t>
      </w:r>
      <w:r w:rsidR="00511285" w:rsidRPr="008D17D2">
        <w:rPr>
          <w:rFonts w:ascii="Century Gothic" w:hAnsi="Century Gothic" w:cs="Arial"/>
          <w:lang w:val="es-ES"/>
        </w:rPr>
        <w:t xml:space="preserve">Cuando </w:t>
      </w:r>
      <w:r w:rsidR="008D4017" w:rsidRPr="008D17D2">
        <w:rPr>
          <w:rFonts w:ascii="Century Gothic" w:hAnsi="Century Gothic" w:cs="Arial"/>
          <w:lang w:val="es-ES"/>
        </w:rPr>
        <w:t>la nuda propiedad corresponda a varios propietarios, el valor a incorporar para el cálculo del patrimonio será en proporción a la propiedad que le corresponde.</w:t>
      </w:r>
      <w:r w:rsidR="00DE422F">
        <w:rPr>
          <w:rFonts w:ascii="Century Gothic" w:hAnsi="Century Gothic" w:cs="Arial"/>
          <w:lang w:val="es-ES"/>
        </w:rPr>
        <w:t xml:space="preserve"> </w:t>
      </w:r>
    </w:p>
    <w:p w:rsidR="00946A5D" w:rsidRPr="00F50D2B" w:rsidRDefault="00C52F00" w:rsidP="00ED1A0E">
      <w:pPr>
        <w:numPr>
          <w:ilvl w:val="1"/>
          <w:numId w:val="7"/>
        </w:numPr>
        <w:tabs>
          <w:tab w:val="left" w:pos="2268"/>
        </w:tabs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val="es-ES" w:eastAsia="es-SV"/>
        </w:rPr>
      </w:pPr>
      <w:r w:rsidRPr="00F50D2B">
        <w:rPr>
          <w:rFonts w:ascii="Century Gothic" w:hAnsi="Century Gothic" w:cs="Arial"/>
          <w:lang w:val="es-ES"/>
        </w:rPr>
        <w:t>Cuando el usufructo sea vitalicio y sucesivo</w:t>
      </w:r>
      <w:r w:rsidR="008B2BF8" w:rsidRPr="00F50D2B">
        <w:rPr>
          <w:rFonts w:ascii="Century Gothic" w:hAnsi="Century Gothic" w:cs="Arial"/>
          <w:lang w:val="es-ES"/>
        </w:rPr>
        <w:t xml:space="preserve"> o cuando no fuere vitalicio, </w:t>
      </w:r>
      <w:r w:rsidRPr="00F50D2B">
        <w:rPr>
          <w:rFonts w:ascii="Century Gothic" w:hAnsi="Century Gothic" w:cs="Arial"/>
          <w:lang w:val="es-ES"/>
        </w:rPr>
        <w:t xml:space="preserve">el valor del derecho de usufructo </w:t>
      </w:r>
      <w:r w:rsidRPr="00F50D2B">
        <w:rPr>
          <w:rFonts w:ascii="Century Gothic" w:hAnsi="Century Gothic" w:cs="Arial"/>
          <w:lang w:val="es-ES"/>
        </w:rPr>
        <w:lastRenderedPageBreak/>
        <w:t xml:space="preserve">será la mitad del valor del bien y el valor del derecho de la nuda propiedad </w:t>
      </w:r>
      <w:r w:rsidR="0086325A" w:rsidRPr="00F50D2B">
        <w:rPr>
          <w:rFonts w:ascii="Century Gothic" w:hAnsi="Century Gothic" w:cs="Arial"/>
          <w:lang w:val="es-ES"/>
        </w:rPr>
        <w:t xml:space="preserve">será </w:t>
      </w:r>
      <w:r w:rsidRPr="00F50D2B">
        <w:rPr>
          <w:rFonts w:ascii="Century Gothic" w:hAnsi="Century Gothic" w:cs="Arial"/>
          <w:lang w:val="es-ES"/>
        </w:rPr>
        <w:t>la otra mitad.</w:t>
      </w:r>
      <w:r w:rsidR="00DE422F" w:rsidRPr="00F50D2B">
        <w:rPr>
          <w:rFonts w:ascii="Century Gothic" w:hAnsi="Century Gothic" w:cs="Arial"/>
          <w:lang w:val="es-ES"/>
        </w:rPr>
        <w:t xml:space="preserve"> </w:t>
      </w:r>
      <w:r w:rsidR="00DE422F" w:rsidRPr="00F50D2B">
        <w:rPr>
          <w:rFonts w:ascii="Century Gothic" w:hAnsi="Century Gothic" w:cs="Arial"/>
          <w:color w:val="FF0000"/>
          <w:lang w:val="es-ES"/>
        </w:rPr>
        <w:t>(</w:t>
      </w:r>
    </w:p>
    <w:p w:rsidR="00ED1A0E" w:rsidRPr="008D17D2" w:rsidRDefault="003E1B99" w:rsidP="00ED1A0E">
      <w:pPr>
        <w:numPr>
          <w:ilvl w:val="0"/>
          <w:numId w:val="7"/>
        </w:numPr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ED1A0E" w:rsidRPr="008D17D2">
        <w:rPr>
          <w:rFonts w:ascii="Century Gothic" w:eastAsia="Times New Roman" w:hAnsi="Century Gothic" w:cs="Arial"/>
          <w:lang w:eastAsia="es-SV"/>
        </w:rPr>
        <w:t>Renta vitalicia:</w:t>
      </w:r>
    </w:p>
    <w:p w:rsidR="00ED1A0E" w:rsidRPr="008D17D2" w:rsidRDefault="00ED1A0E" w:rsidP="008F71C2">
      <w:pPr>
        <w:numPr>
          <w:ilvl w:val="0"/>
          <w:numId w:val="9"/>
        </w:numPr>
        <w:tabs>
          <w:tab w:val="left" w:pos="2268"/>
        </w:tabs>
        <w:spacing w:after="240" w:line="240" w:lineRule="auto"/>
        <w:ind w:left="2268" w:hanging="567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 xml:space="preserve">Para el acreedor de la renta vitalicia, el valor del derecho de renta vitalicia a título oneroso, </w:t>
      </w:r>
      <w:r w:rsidR="00727356" w:rsidRPr="008D17D2">
        <w:rPr>
          <w:rFonts w:ascii="Century Gothic" w:hAnsi="Century Gothic" w:cs="Arial"/>
          <w:lang w:val="es-ES"/>
        </w:rPr>
        <w:t xml:space="preserve">se incluirá en el </w:t>
      </w:r>
      <w:r w:rsidRPr="008D17D2">
        <w:rPr>
          <w:rFonts w:ascii="Century Gothic" w:hAnsi="Century Gothic" w:cs="Arial"/>
          <w:lang w:val="es-ES"/>
        </w:rPr>
        <w:t>activo  y estará representado por el precio a percibir. Dicho valor deberá disminuirse periódicamente con la parte de la renta vitalicia percibida en un ejercicio.</w:t>
      </w:r>
    </w:p>
    <w:p w:rsidR="00ED1A0E" w:rsidRDefault="00ED1A0E" w:rsidP="008F71C2">
      <w:pPr>
        <w:numPr>
          <w:ilvl w:val="0"/>
          <w:numId w:val="9"/>
        </w:numPr>
        <w:tabs>
          <w:tab w:val="left" w:pos="2268"/>
        </w:tabs>
        <w:spacing w:after="240" w:line="240" w:lineRule="auto"/>
        <w:ind w:left="2268" w:hanging="567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lang w:val="es-ES"/>
        </w:rPr>
        <w:t>Para el deudor de la renta vitalicia, la obligación de pagar la renta constituirá un pasivo</w:t>
      </w:r>
      <w:r w:rsidR="00866625" w:rsidRPr="008D17D2">
        <w:rPr>
          <w:rFonts w:ascii="Century Gothic" w:hAnsi="Century Gothic" w:cs="Arial"/>
          <w:lang w:val="es-ES"/>
        </w:rPr>
        <w:t>,</w:t>
      </w:r>
      <w:r w:rsidRPr="008D17D2">
        <w:rPr>
          <w:rFonts w:ascii="Century Gothic" w:hAnsi="Century Gothic" w:cs="Arial"/>
          <w:lang w:val="es-ES"/>
        </w:rPr>
        <w:t xml:space="preserve"> que irá disminuyendo </w:t>
      </w:r>
      <w:r w:rsidR="00866625" w:rsidRPr="008D17D2">
        <w:rPr>
          <w:rFonts w:ascii="Century Gothic" w:hAnsi="Century Gothic" w:cs="Arial"/>
          <w:lang w:val="es-ES"/>
        </w:rPr>
        <w:t xml:space="preserve">periódicamente </w:t>
      </w:r>
      <w:r w:rsidRPr="008D17D2">
        <w:rPr>
          <w:rFonts w:ascii="Century Gothic" w:hAnsi="Century Gothic" w:cs="Arial"/>
          <w:lang w:val="es-ES"/>
        </w:rPr>
        <w:t xml:space="preserve"> en la cuantía </w:t>
      </w:r>
      <w:r w:rsidR="00866625" w:rsidRPr="008D17D2">
        <w:rPr>
          <w:rFonts w:ascii="Century Gothic" w:hAnsi="Century Gothic" w:cs="Arial"/>
          <w:lang w:val="es-ES"/>
        </w:rPr>
        <w:t>de los pagos efectuados en el ejercicio</w:t>
      </w:r>
      <w:r w:rsidRPr="008D17D2">
        <w:rPr>
          <w:rFonts w:ascii="Century Gothic" w:hAnsi="Century Gothic" w:cs="Arial"/>
          <w:lang w:val="es-ES"/>
        </w:rPr>
        <w:t>.</w:t>
      </w:r>
    </w:p>
    <w:p w:rsidR="00D710A6" w:rsidRDefault="00D710A6" w:rsidP="00D710A6">
      <w:pPr>
        <w:numPr>
          <w:ilvl w:val="0"/>
          <w:numId w:val="7"/>
        </w:numPr>
        <w:tabs>
          <w:tab w:val="left" w:pos="1560"/>
        </w:tabs>
        <w:spacing w:after="240"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Anticresis:</w:t>
      </w:r>
    </w:p>
    <w:p w:rsidR="00D710A6" w:rsidRPr="008D17D2" w:rsidRDefault="00D710A6" w:rsidP="00D710A6">
      <w:pPr>
        <w:tabs>
          <w:tab w:val="left" w:pos="1560"/>
        </w:tabs>
        <w:spacing w:after="240" w:line="240" w:lineRule="auto"/>
        <w:ind w:left="1571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Serán aplicables las reglas del numeral anterior.</w:t>
      </w:r>
    </w:p>
    <w:p w:rsidR="002621D1" w:rsidRPr="008D17D2" w:rsidRDefault="00866625" w:rsidP="002621D1">
      <w:pPr>
        <w:numPr>
          <w:ilvl w:val="0"/>
          <w:numId w:val="7"/>
        </w:numPr>
        <w:spacing w:after="240" w:line="240" w:lineRule="auto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2621D1" w:rsidRPr="008D17D2">
        <w:rPr>
          <w:rFonts w:ascii="Century Gothic" w:eastAsia="Times New Roman" w:hAnsi="Century Gothic" w:cs="Arial"/>
          <w:lang w:eastAsia="es-SV"/>
        </w:rPr>
        <w:t>Depreciaciones y amortizaciones:</w:t>
      </w:r>
    </w:p>
    <w:p w:rsidR="00520141" w:rsidRPr="008D17D2" w:rsidRDefault="0039258C" w:rsidP="00A96712">
      <w:pPr>
        <w:numPr>
          <w:ilvl w:val="1"/>
          <w:numId w:val="7"/>
        </w:numPr>
        <w:tabs>
          <w:tab w:val="left" w:pos="2268"/>
        </w:tabs>
        <w:spacing w:after="240" w:line="240" w:lineRule="auto"/>
        <w:ind w:hanging="590"/>
        <w:jc w:val="both"/>
        <w:rPr>
          <w:rFonts w:ascii="Century Gothic" w:hAnsi="Century Gothic" w:cs="Arial"/>
          <w:lang w:val="es-ES"/>
        </w:rPr>
      </w:pPr>
      <w:r>
        <w:rPr>
          <w:rFonts w:ascii="Century Gothic" w:eastAsia="Times New Roman" w:hAnsi="Century Gothic" w:cs="Arial"/>
          <w:lang w:eastAsia="es-SV"/>
        </w:rPr>
        <w:t>L</w:t>
      </w:r>
      <w:r w:rsidR="00520141" w:rsidRPr="008D17D2">
        <w:rPr>
          <w:rFonts w:ascii="Century Gothic" w:eastAsia="Times New Roman" w:hAnsi="Century Gothic" w:cs="Arial"/>
          <w:lang w:eastAsia="es-SV"/>
        </w:rPr>
        <w:t xml:space="preserve">os bienes muebles y las edificaciones </w:t>
      </w:r>
      <w:r>
        <w:rPr>
          <w:rFonts w:ascii="Century Gothic" w:eastAsia="Times New Roman" w:hAnsi="Century Gothic" w:cs="Arial"/>
          <w:lang w:eastAsia="es-SV"/>
        </w:rPr>
        <w:t xml:space="preserve">se depreciarán </w:t>
      </w:r>
      <w:r w:rsidR="00520141" w:rsidRPr="008D17D2">
        <w:rPr>
          <w:rFonts w:ascii="Century Gothic" w:eastAsia="Times New Roman" w:hAnsi="Century Gothic" w:cs="Arial"/>
          <w:lang w:eastAsia="es-SV"/>
        </w:rPr>
        <w:t>considerando lo establecido en el artículo 30 de la Ley de Impuesto sobre la Renta.</w:t>
      </w:r>
    </w:p>
    <w:p w:rsidR="00126687" w:rsidRPr="00126687" w:rsidRDefault="00520141" w:rsidP="00A96712">
      <w:pPr>
        <w:numPr>
          <w:ilvl w:val="1"/>
          <w:numId w:val="7"/>
        </w:numPr>
        <w:tabs>
          <w:tab w:val="left" w:pos="2268"/>
        </w:tabs>
        <w:spacing w:after="240" w:line="240" w:lineRule="auto"/>
        <w:ind w:hanging="590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eastAsia="Times New Roman" w:hAnsi="Century Gothic" w:cs="Arial"/>
          <w:lang w:val="es-ES" w:eastAsia="es-SV"/>
        </w:rPr>
        <w:t>L</w:t>
      </w:r>
      <w:r w:rsidR="00C858DD" w:rsidRPr="008D17D2">
        <w:rPr>
          <w:rFonts w:ascii="Century Gothic" w:eastAsia="Times New Roman" w:hAnsi="Century Gothic" w:cs="Arial"/>
          <w:lang w:val="es-ES" w:eastAsia="es-SV"/>
        </w:rPr>
        <w:t xml:space="preserve">os </w:t>
      </w:r>
      <w:r w:rsidRPr="008D17D2">
        <w:rPr>
          <w:rFonts w:ascii="Century Gothic" w:eastAsia="Times New Roman" w:hAnsi="Century Gothic" w:cs="Arial"/>
          <w:lang w:val="es-ES" w:eastAsia="es-SV"/>
        </w:rPr>
        <w:t xml:space="preserve">activos intangibles, </w:t>
      </w:r>
      <w:r w:rsidR="00C858DD" w:rsidRPr="008D17D2">
        <w:rPr>
          <w:rFonts w:ascii="Century Gothic" w:eastAsia="Times New Roman" w:hAnsi="Century Gothic" w:cs="Arial"/>
          <w:lang w:val="es-ES" w:eastAsia="es-SV"/>
        </w:rPr>
        <w:t xml:space="preserve">se </w:t>
      </w:r>
      <w:r w:rsidR="002E294F" w:rsidRPr="008D17D2">
        <w:rPr>
          <w:rFonts w:ascii="Century Gothic" w:eastAsia="Times New Roman" w:hAnsi="Century Gothic" w:cs="Arial"/>
          <w:lang w:val="es-ES" w:eastAsia="es-SV"/>
        </w:rPr>
        <w:t>valuarán amortizando su costo de adquisición en c</w:t>
      </w:r>
      <w:r w:rsidR="00866625" w:rsidRPr="008D17D2">
        <w:rPr>
          <w:rFonts w:ascii="Century Gothic" w:eastAsia="Times New Roman" w:hAnsi="Century Gothic" w:cs="Arial"/>
          <w:lang w:val="es-ES" w:eastAsia="es-SV"/>
        </w:rPr>
        <w:t xml:space="preserve">uatro </w:t>
      </w:r>
      <w:r w:rsidR="002E294F" w:rsidRPr="008D17D2">
        <w:rPr>
          <w:rFonts w:ascii="Century Gothic" w:eastAsia="Times New Roman" w:hAnsi="Century Gothic" w:cs="Arial"/>
          <w:lang w:val="es-ES" w:eastAsia="es-SV"/>
        </w:rPr>
        <w:t>años.</w:t>
      </w:r>
    </w:p>
    <w:p w:rsidR="00520141" w:rsidRPr="00EE3226" w:rsidRDefault="00126687" w:rsidP="00A96712">
      <w:pPr>
        <w:numPr>
          <w:ilvl w:val="1"/>
          <w:numId w:val="7"/>
        </w:numPr>
        <w:tabs>
          <w:tab w:val="left" w:pos="2268"/>
        </w:tabs>
        <w:spacing w:after="240" w:line="240" w:lineRule="auto"/>
        <w:ind w:hanging="590"/>
        <w:jc w:val="both"/>
        <w:rPr>
          <w:rFonts w:ascii="Century Gothic" w:hAnsi="Century Gothic" w:cs="Arial"/>
          <w:color w:val="FF0000"/>
          <w:lang w:val="es-ES"/>
        </w:rPr>
      </w:pPr>
      <w:r w:rsidRPr="00EE3226">
        <w:rPr>
          <w:rFonts w:ascii="Century Gothic" w:eastAsia="Times New Roman" w:hAnsi="Century Gothic" w:cs="Arial"/>
          <w:color w:val="FF0000"/>
          <w:lang w:val="es-ES" w:eastAsia="es-SV"/>
        </w:rPr>
        <w:t xml:space="preserve">El ganado para crianza o producción, cuya vida útil sea superior a un año, se valuará al costo de adquisición o producción, amortizando su valor en </w:t>
      </w:r>
      <w:r w:rsidR="0039258C" w:rsidRPr="00EE3226">
        <w:rPr>
          <w:rFonts w:ascii="Century Gothic" w:eastAsia="Times New Roman" w:hAnsi="Century Gothic" w:cs="Arial"/>
          <w:color w:val="FF0000"/>
          <w:lang w:val="es-ES" w:eastAsia="es-SV"/>
        </w:rPr>
        <w:t>cinco años. El ganado aviar y porcino se amortizará en dos años.</w:t>
      </w:r>
      <w:r w:rsidRPr="00EE3226">
        <w:rPr>
          <w:rFonts w:ascii="Century Gothic" w:eastAsia="Times New Roman" w:hAnsi="Century Gothic" w:cs="Arial"/>
          <w:color w:val="FF0000"/>
          <w:lang w:val="es-ES" w:eastAsia="es-SV"/>
        </w:rPr>
        <w:t xml:space="preserve"> </w:t>
      </w:r>
      <w:r w:rsidR="00C858DD" w:rsidRPr="00EE3226">
        <w:rPr>
          <w:rFonts w:ascii="Century Gothic" w:eastAsia="Times New Roman" w:hAnsi="Century Gothic" w:cs="Arial"/>
          <w:color w:val="FF0000"/>
          <w:lang w:val="es-ES" w:eastAsia="es-SV"/>
        </w:rPr>
        <w:t xml:space="preserve"> </w:t>
      </w:r>
    </w:p>
    <w:p w:rsidR="0063696A" w:rsidRDefault="0063696A" w:rsidP="0063696A">
      <w:pPr>
        <w:tabs>
          <w:tab w:val="left" w:pos="1560"/>
        </w:tabs>
        <w:spacing w:after="240" w:line="240" w:lineRule="auto"/>
        <w:ind w:firstLine="851"/>
        <w:jc w:val="both"/>
        <w:rPr>
          <w:rFonts w:ascii="Century Gothic" w:hAnsi="Century Gothic" w:cs="Arial"/>
          <w:color w:val="FF0000"/>
          <w:lang w:val="es-ES"/>
        </w:rPr>
      </w:pPr>
      <w:r w:rsidRPr="00292C0D">
        <w:rPr>
          <w:rFonts w:ascii="Century Gothic" w:hAnsi="Century Gothic" w:cs="Arial"/>
          <w:color w:val="FF0000"/>
          <w:lang w:val="es-ES"/>
        </w:rPr>
        <w:t xml:space="preserve">Una vez adoptado cualquiera de los métodos de valoración, </w:t>
      </w:r>
      <w:r>
        <w:rPr>
          <w:rFonts w:ascii="Century Gothic" w:hAnsi="Century Gothic" w:cs="Arial"/>
          <w:color w:val="FF0000"/>
          <w:lang w:val="es-ES"/>
        </w:rPr>
        <w:t xml:space="preserve">a que se refiere el numeral 1 del presente artículo, </w:t>
      </w:r>
      <w:r w:rsidRPr="00292C0D">
        <w:rPr>
          <w:rFonts w:ascii="Century Gothic" w:hAnsi="Century Gothic" w:cs="Arial"/>
          <w:color w:val="FF0000"/>
          <w:lang w:val="es-ES"/>
        </w:rPr>
        <w:t>el sujeto pasivo no podrá cambiarlo y deberá mantenerlo en posteriores declaraciones del impuesto.</w:t>
      </w:r>
      <w:r>
        <w:rPr>
          <w:rFonts w:ascii="Century Gothic" w:hAnsi="Century Gothic" w:cs="Arial"/>
          <w:color w:val="FF0000"/>
          <w:lang w:val="es-ES"/>
        </w:rPr>
        <w:t xml:space="preserve"> </w:t>
      </w:r>
    </w:p>
    <w:p w:rsidR="00004273" w:rsidRPr="008D17D2" w:rsidRDefault="00086084" w:rsidP="00004273">
      <w:pPr>
        <w:tabs>
          <w:tab w:val="left" w:pos="2268"/>
        </w:tabs>
        <w:spacing w:after="240" w:line="240" w:lineRule="auto"/>
        <w:ind w:firstLine="851"/>
        <w:jc w:val="both"/>
        <w:rPr>
          <w:rFonts w:ascii="Century Gothic" w:hAnsi="Century Gothic" w:cs="Arial"/>
          <w:lang w:val="es-ES"/>
        </w:rPr>
      </w:pPr>
      <w:r>
        <w:rPr>
          <w:rFonts w:ascii="Century Gothic" w:eastAsia="Times New Roman" w:hAnsi="Century Gothic" w:cs="Arial"/>
          <w:lang w:val="es-ES" w:eastAsia="es-SV"/>
        </w:rPr>
        <w:t>La Dirección General de Impuestos Internos tendrá facultades para determinar el valor de los activos y pasivos, con base a las reglas contenidas en la presente disposición, e</w:t>
      </w:r>
      <w:r w:rsidR="00004273">
        <w:rPr>
          <w:rFonts w:ascii="Century Gothic" w:eastAsia="Times New Roman" w:hAnsi="Century Gothic" w:cs="Arial"/>
          <w:lang w:val="es-ES" w:eastAsia="es-SV"/>
        </w:rPr>
        <w:t xml:space="preserve">n </w:t>
      </w:r>
      <w:r w:rsidR="00F82BDE">
        <w:rPr>
          <w:rFonts w:ascii="Century Gothic" w:eastAsia="Times New Roman" w:hAnsi="Century Gothic" w:cs="Arial"/>
          <w:lang w:val="es-ES" w:eastAsia="es-SV"/>
        </w:rPr>
        <w:t xml:space="preserve">los </w:t>
      </w:r>
      <w:r w:rsidR="00004273">
        <w:rPr>
          <w:rFonts w:ascii="Century Gothic" w:eastAsia="Times New Roman" w:hAnsi="Century Gothic" w:cs="Arial"/>
          <w:lang w:val="es-ES" w:eastAsia="es-SV"/>
        </w:rPr>
        <w:t>caso</w:t>
      </w:r>
      <w:r w:rsidR="00F82BDE">
        <w:rPr>
          <w:rFonts w:ascii="Century Gothic" w:eastAsia="Times New Roman" w:hAnsi="Century Gothic" w:cs="Arial"/>
          <w:lang w:val="es-ES" w:eastAsia="es-SV"/>
        </w:rPr>
        <w:t>s siguientes:</w:t>
      </w:r>
      <w:r w:rsidR="00004273">
        <w:rPr>
          <w:rFonts w:ascii="Century Gothic" w:eastAsia="Times New Roman" w:hAnsi="Century Gothic" w:cs="Arial"/>
          <w:lang w:val="es-ES" w:eastAsia="es-SV"/>
        </w:rPr>
        <w:t xml:space="preserve"> que </w:t>
      </w:r>
      <w:r w:rsidR="00F82BDE">
        <w:rPr>
          <w:rFonts w:ascii="Century Gothic" w:eastAsia="Times New Roman" w:hAnsi="Century Gothic" w:cs="Arial"/>
          <w:lang w:val="es-ES" w:eastAsia="es-SV"/>
        </w:rPr>
        <w:t xml:space="preserve">el </w:t>
      </w:r>
      <w:r w:rsidR="00004273">
        <w:rPr>
          <w:rFonts w:ascii="Century Gothic" w:eastAsia="Times New Roman" w:hAnsi="Century Gothic" w:cs="Arial"/>
          <w:lang w:val="es-ES" w:eastAsia="es-SV"/>
        </w:rPr>
        <w:t>contribuyente no presentare su declaración</w:t>
      </w:r>
      <w:r w:rsidR="00F82BDE">
        <w:rPr>
          <w:rFonts w:ascii="Century Gothic" w:eastAsia="Times New Roman" w:hAnsi="Century Gothic" w:cs="Arial"/>
          <w:lang w:val="es-ES" w:eastAsia="es-SV"/>
        </w:rPr>
        <w:t>;</w:t>
      </w:r>
      <w:r w:rsidR="00004273">
        <w:rPr>
          <w:rFonts w:ascii="Century Gothic" w:eastAsia="Times New Roman" w:hAnsi="Century Gothic" w:cs="Arial"/>
          <w:lang w:val="es-ES" w:eastAsia="es-SV"/>
        </w:rPr>
        <w:t xml:space="preserve"> </w:t>
      </w:r>
      <w:r w:rsidR="005E143F">
        <w:rPr>
          <w:rFonts w:ascii="Century Gothic" w:eastAsia="Times New Roman" w:hAnsi="Century Gothic" w:cs="Arial"/>
          <w:lang w:val="es-ES" w:eastAsia="es-SV"/>
        </w:rPr>
        <w:t xml:space="preserve">los valores declarados </w:t>
      </w:r>
      <w:r w:rsidR="00EB0826">
        <w:rPr>
          <w:rFonts w:ascii="Century Gothic" w:eastAsia="Times New Roman" w:hAnsi="Century Gothic" w:cs="Arial"/>
          <w:lang w:val="es-ES" w:eastAsia="es-SV"/>
        </w:rPr>
        <w:t xml:space="preserve">se encuentren en el supuesto del </w:t>
      </w:r>
      <w:r w:rsidR="005E143F">
        <w:rPr>
          <w:rFonts w:ascii="Century Gothic" w:eastAsia="Times New Roman" w:hAnsi="Century Gothic" w:cs="Arial"/>
          <w:lang w:val="es-ES" w:eastAsia="es-SV"/>
        </w:rPr>
        <w:t xml:space="preserve">artículo 13 </w:t>
      </w:r>
      <w:r w:rsidR="00EB0826">
        <w:rPr>
          <w:rFonts w:ascii="Century Gothic" w:eastAsia="Times New Roman" w:hAnsi="Century Gothic" w:cs="Arial"/>
          <w:lang w:val="es-ES" w:eastAsia="es-SV"/>
        </w:rPr>
        <w:t xml:space="preserve">de esta </w:t>
      </w:r>
      <w:r w:rsidR="005E143F">
        <w:rPr>
          <w:rFonts w:ascii="Century Gothic" w:eastAsia="Times New Roman" w:hAnsi="Century Gothic" w:cs="Arial"/>
          <w:lang w:val="es-ES" w:eastAsia="es-SV"/>
        </w:rPr>
        <w:t>ley</w:t>
      </w:r>
      <w:r w:rsidR="00F82BDE">
        <w:rPr>
          <w:rFonts w:ascii="Century Gothic" w:eastAsia="Times New Roman" w:hAnsi="Century Gothic" w:cs="Arial"/>
          <w:lang w:val="es-ES" w:eastAsia="es-SV"/>
        </w:rPr>
        <w:t>;</w:t>
      </w:r>
      <w:r w:rsidR="005E143F">
        <w:rPr>
          <w:rFonts w:ascii="Century Gothic" w:eastAsia="Times New Roman" w:hAnsi="Century Gothic" w:cs="Arial"/>
          <w:lang w:val="es-ES" w:eastAsia="es-SV"/>
        </w:rPr>
        <w:t xml:space="preserve"> </w:t>
      </w:r>
      <w:r>
        <w:rPr>
          <w:rFonts w:ascii="Century Gothic" w:eastAsia="Times New Roman" w:hAnsi="Century Gothic" w:cs="Arial"/>
          <w:lang w:val="es-ES" w:eastAsia="es-SV"/>
        </w:rPr>
        <w:t xml:space="preserve">no lleve </w:t>
      </w:r>
      <w:r w:rsidR="00004273">
        <w:rPr>
          <w:rFonts w:ascii="Century Gothic" w:eastAsia="Times New Roman" w:hAnsi="Century Gothic" w:cs="Arial"/>
          <w:lang w:val="es-ES" w:eastAsia="es-SV"/>
        </w:rPr>
        <w:t>contabilidad formal</w:t>
      </w:r>
      <w:r w:rsidR="00F82BDE">
        <w:rPr>
          <w:rFonts w:ascii="Century Gothic" w:eastAsia="Times New Roman" w:hAnsi="Century Gothic" w:cs="Arial"/>
          <w:lang w:val="es-ES" w:eastAsia="es-SV"/>
        </w:rPr>
        <w:t xml:space="preserve">; </w:t>
      </w:r>
      <w:r w:rsidR="00004273">
        <w:rPr>
          <w:rFonts w:ascii="Century Gothic" w:eastAsia="Times New Roman" w:hAnsi="Century Gothic" w:cs="Arial"/>
          <w:lang w:val="es-ES" w:eastAsia="es-SV"/>
        </w:rPr>
        <w:t xml:space="preserve"> </w:t>
      </w:r>
      <w:r>
        <w:rPr>
          <w:rFonts w:ascii="Century Gothic" w:eastAsia="Times New Roman" w:hAnsi="Century Gothic" w:cs="Arial"/>
          <w:lang w:val="es-ES" w:eastAsia="es-SV"/>
        </w:rPr>
        <w:t xml:space="preserve">o </w:t>
      </w:r>
      <w:r w:rsidR="00004273">
        <w:rPr>
          <w:rFonts w:ascii="Century Gothic" w:eastAsia="Times New Roman" w:hAnsi="Century Gothic" w:cs="Arial"/>
          <w:lang w:val="es-ES" w:eastAsia="es-SV"/>
        </w:rPr>
        <w:t>no haya adoptado las normas a que se refiere el literal a</w:t>
      </w:r>
      <w:r w:rsidR="008D65A7">
        <w:rPr>
          <w:rFonts w:ascii="Century Gothic" w:eastAsia="Times New Roman" w:hAnsi="Century Gothic" w:cs="Arial"/>
          <w:lang w:val="es-ES" w:eastAsia="es-SV"/>
        </w:rPr>
        <w:t>)</w:t>
      </w:r>
      <w:r w:rsidR="00004273">
        <w:rPr>
          <w:rFonts w:ascii="Century Gothic" w:eastAsia="Times New Roman" w:hAnsi="Century Gothic" w:cs="Arial"/>
          <w:lang w:val="es-ES" w:eastAsia="es-SV"/>
        </w:rPr>
        <w:t xml:space="preserve"> del presente artículo.   </w:t>
      </w:r>
    </w:p>
    <w:p w:rsidR="00D360DB" w:rsidRPr="008D17D2" w:rsidRDefault="00E50A57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Cálculo del </w:t>
      </w:r>
      <w:r w:rsidR="004D531A" w:rsidRPr="008D17D2">
        <w:rPr>
          <w:rFonts w:ascii="Century Gothic" w:eastAsia="Times New Roman" w:hAnsi="Century Gothic" w:cs="Arial"/>
          <w:b/>
          <w:bCs/>
          <w:lang w:eastAsia="es-SV"/>
        </w:rPr>
        <w:t>i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mpuesto. </w:t>
      </w:r>
      <w:r w:rsidR="001A5DC3" w:rsidRPr="008D17D2">
        <w:rPr>
          <w:rFonts w:ascii="Century Gothic" w:eastAsia="Times New Roman" w:hAnsi="Century Gothic" w:cs="Arial"/>
          <w:b/>
          <w:bCs/>
          <w:lang w:eastAsia="es-SV"/>
        </w:rPr>
        <w:t>Tasas o alícu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o</w:t>
      </w:r>
      <w:r w:rsidR="001A5DC3" w:rsidRPr="008D17D2">
        <w:rPr>
          <w:rFonts w:ascii="Century Gothic" w:eastAsia="Times New Roman" w:hAnsi="Century Gothic" w:cs="Arial"/>
          <w:b/>
          <w:bCs/>
          <w:lang w:eastAsia="es-SV"/>
        </w:rPr>
        <w:t>tas</w:t>
      </w:r>
    </w:p>
    <w:p w:rsidR="00937CF2" w:rsidRPr="008D17D2" w:rsidRDefault="00937CF2" w:rsidP="001A5DC3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E344C4" w:rsidRPr="008D17D2" w:rsidRDefault="00D360DB" w:rsidP="001A5DC3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DA3E6A" w:rsidRPr="008D17D2">
        <w:rPr>
          <w:rFonts w:ascii="Century Gothic" w:eastAsia="Times New Roman" w:hAnsi="Century Gothic" w:cs="Arial"/>
          <w:b/>
          <w:bCs/>
          <w:lang w:eastAsia="es-SV"/>
        </w:rPr>
        <w:t>8</w:t>
      </w:r>
      <w:r w:rsidR="001A5DC3" w:rsidRPr="008D17D2">
        <w:rPr>
          <w:rFonts w:ascii="Century Gothic" w:eastAsia="Times New Roman" w:hAnsi="Century Gothic" w:cs="Arial"/>
          <w:b/>
          <w:bCs/>
          <w:lang w:eastAsia="es-SV"/>
        </w:rPr>
        <w:t>.-</w:t>
      </w: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072CE3" w:rsidRPr="008D17D2">
        <w:rPr>
          <w:rFonts w:ascii="Century Gothic" w:eastAsia="Times New Roman" w:hAnsi="Century Gothic" w:cs="Arial"/>
          <w:lang w:eastAsia="es-SV"/>
        </w:rPr>
        <w:t xml:space="preserve">El </w:t>
      </w:r>
      <w:r w:rsidRPr="008D17D2">
        <w:rPr>
          <w:rFonts w:ascii="Century Gothic" w:eastAsia="Times New Roman" w:hAnsi="Century Gothic" w:cs="Arial"/>
          <w:lang w:eastAsia="es-SV"/>
        </w:rPr>
        <w:t xml:space="preserve">impuesto </w:t>
      </w:r>
      <w:r w:rsidR="00072CE3" w:rsidRPr="008D17D2">
        <w:rPr>
          <w:rFonts w:ascii="Century Gothic" w:eastAsia="Times New Roman" w:hAnsi="Century Gothic" w:cs="Arial"/>
          <w:lang w:eastAsia="es-SV"/>
        </w:rPr>
        <w:t>se determinará con base a alícuotas de la manera siguiente</w:t>
      </w:r>
      <w:r w:rsidRPr="008D17D2">
        <w:rPr>
          <w:rFonts w:ascii="Century Gothic" w:eastAsia="Times New Roman" w:hAnsi="Century Gothic" w:cs="Arial"/>
          <w:lang w:eastAsia="es-SV"/>
        </w:rPr>
        <w:t>:</w:t>
      </w:r>
      <w:r w:rsidR="006D7445" w:rsidRPr="008D17D2">
        <w:rPr>
          <w:rFonts w:ascii="Century Gothic" w:eastAsia="Times New Roman" w:hAnsi="Century Gothic" w:cs="Arial"/>
          <w:lang w:eastAsia="es-SV"/>
        </w:rPr>
        <w:t xml:space="preserve"> </w:t>
      </w:r>
    </w:p>
    <w:p w:rsidR="00835C67" w:rsidRPr="008D17D2" w:rsidRDefault="00835C67" w:rsidP="001A5DC3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tbl>
      <w:tblPr>
        <w:tblW w:w="8866" w:type="dxa"/>
        <w:jc w:val="center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50"/>
        <w:gridCol w:w="1675"/>
        <w:gridCol w:w="1690"/>
        <w:gridCol w:w="1098"/>
        <w:gridCol w:w="1769"/>
        <w:gridCol w:w="1384"/>
      </w:tblGrid>
      <w:tr w:rsidR="00173E7B" w:rsidRPr="008D17D2" w:rsidTr="00390C67">
        <w:trPr>
          <w:trHeight w:val="601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DESDE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HASTA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% A APLICAR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SOBRE EL  EXCESO DE: 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MAS CUOTA FIJA DE: </w:t>
            </w:r>
          </w:p>
        </w:tc>
      </w:tr>
      <w:tr w:rsidR="0071340C" w:rsidRPr="008D17D2" w:rsidTr="00390C67">
        <w:trPr>
          <w:trHeight w:val="344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I   TRAMO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71340C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 </w:t>
            </w:r>
            <w:r w:rsidR="003E4B23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    0.01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835C67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$      500,000.00</w:t>
            </w:r>
          </w:p>
        </w:tc>
        <w:tc>
          <w:tcPr>
            <w:tcW w:w="4251" w:type="dxa"/>
            <w:gridSpan w:val="3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b/>
                <w:sz w:val="20"/>
                <w:szCs w:val="20"/>
                <w:lang w:eastAsia="es-SV"/>
              </w:rPr>
              <w:t>EXENTO</w:t>
            </w:r>
          </w:p>
        </w:tc>
      </w:tr>
      <w:tr w:rsidR="00173E7B" w:rsidRPr="008D17D2" w:rsidTr="00390C67">
        <w:trPr>
          <w:trHeight w:val="31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II  TRAMO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71340C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 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500,000.0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1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835C67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$    1,000,000.00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0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.5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%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173E7B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  </w:t>
            </w:r>
            <w:r w:rsidR="00173E7B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500,000.00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1975A6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  </w:t>
            </w:r>
            <w:r w:rsidR="001975A6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     0.00</w:t>
            </w:r>
          </w:p>
        </w:tc>
      </w:tr>
      <w:tr w:rsidR="00173E7B" w:rsidRPr="008D17D2" w:rsidTr="00390C67">
        <w:trPr>
          <w:trHeight w:val="31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III TRAMO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71340C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1,000,000.01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71340C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5,000,000.00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35C67" w:rsidRPr="00A840AC" w:rsidRDefault="0071340C" w:rsidP="0071340C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1.0</w:t>
            </w:r>
            <w:r w:rsidR="00835C67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%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 </w:t>
            </w:r>
            <w:r w:rsidR="00173E7B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1,000,000.00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1975A6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  </w:t>
            </w:r>
            <w:r w:rsidR="001975A6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2,500.00</w:t>
            </w:r>
          </w:p>
        </w:tc>
      </w:tr>
      <w:tr w:rsidR="00173E7B" w:rsidRPr="008D17D2" w:rsidTr="00390C67">
        <w:trPr>
          <w:trHeight w:val="310"/>
          <w:jc w:val="center"/>
        </w:trPr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IV  TRAMO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71340C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</w:t>
            </w:r>
            <w:r w:rsidR="003E4B23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 </w:t>
            </w:r>
            <w:r w:rsidR="0071340C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5,000,000.01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En adelante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835C67" w:rsidRPr="00A840AC" w:rsidRDefault="0071340C" w:rsidP="0071340C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1.5</w:t>
            </w:r>
            <w:r w:rsidR="00835C67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%</w:t>
            </w:r>
          </w:p>
        </w:tc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D81C4A">
            <w:pPr>
              <w:jc w:val="center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</w:t>
            </w:r>
            <w:r w:rsidR="00173E7B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5,000,000.00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835C67" w:rsidRPr="00A840AC" w:rsidRDefault="00835C67" w:rsidP="001975A6">
            <w:pPr>
              <w:jc w:val="right"/>
              <w:rPr>
                <w:rFonts w:ascii="Century Gothic" w:hAnsi="Century Gothic" w:cs="Tahoma"/>
                <w:sz w:val="20"/>
                <w:szCs w:val="20"/>
                <w:lang w:eastAsia="es-SV"/>
              </w:rPr>
            </w:pP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 xml:space="preserve">$  </w:t>
            </w:r>
            <w:r w:rsidR="001975A6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42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,</w:t>
            </w:r>
            <w:r w:rsidR="001975A6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500</w:t>
            </w:r>
            <w:r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.0</w:t>
            </w:r>
            <w:r w:rsidR="001975A6" w:rsidRPr="00A840AC">
              <w:rPr>
                <w:rFonts w:ascii="Century Gothic" w:hAnsi="Century Gothic" w:cs="Tahoma"/>
                <w:sz w:val="20"/>
                <w:szCs w:val="20"/>
                <w:lang w:eastAsia="es-SV"/>
              </w:rPr>
              <w:t>0</w:t>
            </w:r>
          </w:p>
        </w:tc>
      </w:tr>
    </w:tbl>
    <w:p w:rsidR="00E344C4" w:rsidRPr="008D17D2" w:rsidRDefault="00E344C4" w:rsidP="001A5DC3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2A52C6" w:rsidRPr="008D17D2" w:rsidRDefault="002A52C6" w:rsidP="002A52C6">
      <w:pPr>
        <w:spacing w:after="0" w:line="240" w:lineRule="auto"/>
        <w:ind w:firstLine="851"/>
        <w:jc w:val="both"/>
        <w:rPr>
          <w:rFonts w:ascii="Century Gothic" w:eastAsia="Times New Roman" w:hAnsi="Century Gothic"/>
          <w:noProof/>
          <w:lang w:eastAsia="es-SV"/>
        </w:rPr>
      </w:pPr>
      <w:r w:rsidRPr="008D17D2">
        <w:rPr>
          <w:rFonts w:ascii="Century Gothic" w:eastAsia="Times New Roman" w:hAnsi="Century Gothic"/>
          <w:noProof/>
          <w:lang w:eastAsia="es-SV"/>
        </w:rPr>
        <w:t>El impuesto calculado con base a la tabla anterior, no podrá ser superior a dos millones de dólares.</w:t>
      </w:r>
    </w:p>
    <w:p w:rsidR="002A52C6" w:rsidRPr="008D17D2" w:rsidRDefault="002A52C6" w:rsidP="002A52C6">
      <w:pPr>
        <w:spacing w:after="0" w:line="240" w:lineRule="auto"/>
        <w:ind w:firstLine="851"/>
        <w:jc w:val="both"/>
        <w:rPr>
          <w:rFonts w:ascii="Century Gothic" w:eastAsia="Times New Roman" w:hAnsi="Century Gothic"/>
          <w:b/>
          <w:noProof/>
          <w:lang w:eastAsia="es-SV"/>
        </w:rPr>
      </w:pPr>
    </w:p>
    <w:p w:rsidR="00EA19C3" w:rsidRPr="008D17D2" w:rsidRDefault="00EA19C3" w:rsidP="00EA19C3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/>
          <w:b/>
          <w:noProof/>
          <w:lang w:eastAsia="es-SV"/>
        </w:rPr>
        <w:t xml:space="preserve">Sujetos no obligados al pago del </w:t>
      </w:r>
      <w:r w:rsidR="004D531A" w:rsidRPr="008D17D2">
        <w:rPr>
          <w:rFonts w:ascii="Century Gothic" w:eastAsia="Times New Roman" w:hAnsi="Century Gothic"/>
          <w:b/>
          <w:noProof/>
          <w:lang w:eastAsia="es-SV"/>
        </w:rPr>
        <w:t>i</w:t>
      </w:r>
      <w:r w:rsidR="00C94B0E" w:rsidRPr="008D17D2">
        <w:rPr>
          <w:rFonts w:ascii="Century Gothic" w:eastAsia="Times New Roman" w:hAnsi="Century Gothic"/>
          <w:b/>
          <w:noProof/>
          <w:lang w:eastAsia="es-SV"/>
        </w:rPr>
        <w:t>mpuesto</w:t>
      </w:r>
    </w:p>
    <w:p w:rsidR="00EA19C3" w:rsidRPr="008D17D2" w:rsidRDefault="00EA19C3" w:rsidP="00EA19C3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B5352C" w:rsidRPr="008D17D2" w:rsidRDefault="00D360DB" w:rsidP="00B5352C">
      <w:pPr>
        <w:ind w:firstLine="851"/>
        <w:jc w:val="both"/>
        <w:rPr>
          <w:rFonts w:ascii="Century Gothic" w:hAnsi="Century Gothic"/>
          <w:lang w:val="es-ES_tradnl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DA3E6A" w:rsidRPr="008D17D2">
        <w:rPr>
          <w:rFonts w:ascii="Century Gothic" w:eastAsia="Times New Roman" w:hAnsi="Century Gothic" w:cs="Arial"/>
          <w:b/>
          <w:bCs/>
          <w:lang w:eastAsia="es-SV"/>
        </w:rPr>
        <w:t>9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.</w:t>
      </w:r>
      <w:r w:rsidR="00EA19C3" w:rsidRPr="008D17D2">
        <w:rPr>
          <w:rFonts w:ascii="Century Gothic" w:eastAsia="Times New Roman" w:hAnsi="Century Gothic" w:cs="Arial"/>
          <w:b/>
          <w:bCs/>
          <w:lang w:eastAsia="es-SV"/>
        </w:rPr>
        <w:t>-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 </w:t>
      </w:r>
      <w:r w:rsidRPr="008D17D2">
        <w:rPr>
          <w:rFonts w:ascii="Century Gothic" w:eastAsia="Times New Roman" w:hAnsi="Century Gothic" w:cs="Arial"/>
          <w:lang w:eastAsia="es-SV"/>
        </w:rPr>
        <w:t>No están obligadas a pagar el impuesto de que trata e</w:t>
      </w:r>
      <w:r w:rsidR="00EA19C3" w:rsidRPr="008D17D2">
        <w:rPr>
          <w:rFonts w:ascii="Century Gothic" w:eastAsia="Times New Roman" w:hAnsi="Century Gothic" w:cs="Arial"/>
          <w:lang w:eastAsia="es-SV"/>
        </w:rPr>
        <w:t>sta ley los sujetos siguientes:</w:t>
      </w:r>
      <w:r w:rsidR="00B5352C" w:rsidRPr="008D17D2">
        <w:rPr>
          <w:rFonts w:ascii="Century Gothic" w:hAnsi="Century Gothic"/>
          <w:lang w:val="es-ES_tradnl"/>
        </w:rPr>
        <w:t xml:space="preserve"> </w:t>
      </w:r>
    </w:p>
    <w:p w:rsidR="00B5352C" w:rsidRPr="008D17D2" w:rsidRDefault="00F62A80" w:rsidP="00B5352C">
      <w:pPr>
        <w:numPr>
          <w:ilvl w:val="0"/>
          <w:numId w:val="15"/>
        </w:numPr>
        <w:suppressAutoHyphens/>
        <w:spacing w:after="0" w:line="240" w:lineRule="auto"/>
        <w:ind w:left="1418" w:hanging="567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Los Órganos del Estado</w:t>
      </w:r>
      <w:r w:rsidR="00B5352C" w:rsidRPr="008D17D2">
        <w:rPr>
          <w:rFonts w:ascii="Century Gothic" w:hAnsi="Century Gothic"/>
          <w:lang w:val="es-ES_tradnl"/>
        </w:rPr>
        <w:t xml:space="preserve"> y sus instituciones, los Municipios y las </w:t>
      </w:r>
      <w:r w:rsidR="00B56810" w:rsidRPr="008D17D2">
        <w:rPr>
          <w:rFonts w:ascii="Century Gothic" w:hAnsi="Century Gothic"/>
          <w:lang w:val="es-ES_tradnl"/>
        </w:rPr>
        <w:t>Corporaciones o Fundaciones de Derecho Público o de Utilidad Pública</w:t>
      </w:r>
      <w:r w:rsidR="00B5352C" w:rsidRPr="008D17D2">
        <w:rPr>
          <w:rFonts w:ascii="Century Gothic" w:hAnsi="Century Gothic"/>
          <w:lang w:val="es-ES_tradnl"/>
        </w:rPr>
        <w:t xml:space="preserve">, así como los Fondos o Fideicomisos administrados </w:t>
      </w:r>
      <w:r w:rsidR="000E3AC2" w:rsidRPr="008D17D2">
        <w:rPr>
          <w:rFonts w:ascii="Century Gothic" w:hAnsi="Century Gothic"/>
          <w:lang w:val="es-ES_tradnl"/>
        </w:rPr>
        <w:t xml:space="preserve">o constituidos </w:t>
      </w:r>
      <w:r w:rsidR="00B5352C" w:rsidRPr="008D17D2">
        <w:rPr>
          <w:rFonts w:ascii="Century Gothic" w:hAnsi="Century Gothic"/>
          <w:lang w:val="es-ES_tradnl"/>
        </w:rPr>
        <w:t>por éstos</w:t>
      </w:r>
      <w:r w:rsidR="00546E28">
        <w:rPr>
          <w:rFonts w:ascii="Century Gothic" w:hAnsi="Century Gothic"/>
          <w:lang w:val="es-ES_tradnl"/>
        </w:rPr>
        <w:t xml:space="preserve"> o por ley</w:t>
      </w:r>
      <w:r w:rsidR="00B5352C" w:rsidRPr="008D17D2">
        <w:rPr>
          <w:rFonts w:ascii="Century Gothic" w:hAnsi="Century Gothic"/>
          <w:lang w:val="es-ES_tradnl"/>
        </w:rPr>
        <w:t>.</w:t>
      </w:r>
    </w:p>
    <w:p w:rsidR="00B5352C" w:rsidRPr="008D17D2" w:rsidRDefault="00B5352C" w:rsidP="00B5352C">
      <w:pPr>
        <w:suppressAutoHyphens/>
        <w:spacing w:after="0" w:line="240" w:lineRule="auto"/>
        <w:ind w:left="1418"/>
        <w:jc w:val="both"/>
        <w:rPr>
          <w:rFonts w:ascii="Century Gothic" w:hAnsi="Century Gothic"/>
          <w:lang w:val="es-ES_tradnl"/>
        </w:rPr>
      </w:pPr>
    </w:p>
    <w:p w:rsidR="0028685C" w:rsidRPr="008D17D2" w:rsidRDefault="00B5352C" w:rsidP="004B3BAC">
      <w:pPr>
        <w:numPr>
          <w:ilvl w:val="0"/>
          <w:numId w:val="15"/>
        </w:numPr>
        <w:suppressAutoHyphens/>
        <w:spacing w:after="0" w:line="240" w:lineRule="auto"/>
        <w:ind w:left="1418" w:hanging="567"/>
        <w:jc w:val="both"/>
        <w:rPr>
          <w:rFonts w:ascii="Century Gothic" w:hAnsi="Century Gothic"/>
          <w:lang w:val="es-ES_tradnl"/>
        </w:rPr>
      </w:pPr>
      <w:r w:rsidRPr="008D17D2">
        <w:rPr>
          <w:rFonts w:ascii="Century Gothic" w:hAnsi="Century Gothic"/>
          <w:lang w:val="es-ES_tradnl"/>
        </w:rPr>
        <w:t xml:space="preserve">Las personas </w:t>
      </w:r>
      <w:r w:rsidR="0028685C" w:rsidRPr="008D17D2">
        <w:rPr>
          <w:rFonts w:ascii="Century Gothic" w:hAnsi="Century Gothic"/>
          <w:lang w:val="es-ES_tradnl"/>
        </w:rPr>
        <w:t>que gocen de los beneficios de la Ley de Zonas Francas Industriales y de Comercialización o de la Ley de Servicios Internacionales, con arreglo a dichas leyes.</w:t>
      </w:r>
    </w:p>
    <w:p w:rsidR="00B56810" w:rsidRPr="008D17D2" w:rsidRDefault="00B56810" w:rsidP="00B56810">
      <w:pPr>
        <w:suppressAutoHyphens/>
        <w:spacing w:after="0" w:line="240" w:lineRule="auto"/>
        <w:ind w:left="1418"/>
        <w:jc w:val="both"/>
        <w:rPr>
          <w:rFonts w:ascii="Century Gothic" w:hAnsi="Century Gothic"/>
          <w:lang w:val="es-ES_tradnl"/>
        </w:rPr>
      </w:pPr>
    </w:p>
    <w:p w:rsidR="00B5352C" w:rsidRPr="008D17D2" w:rsidRDefault="0028685C" w:rsidP="004B3BAC">
      <w:pPr>
        <w:numPr>
          <w:ilvl w:val="0"/>
          <w:numId w:val="15"/>
        </w:numPr>
        <w:suppressAutoHyphens/>
        <w:spacing w:after="0" w:line="240" w:lineRule="auto"/>
        <w:ind w:left="1418" w:hanging="567"/>
        <w:jc w:val="both"/>
        <w:rPr>
          <w:rFonts w:ascii="Century Gothic" w:hAnsi="Century Gothic"/>
          <w:lang w:val="es-ES_tradnl"/>
        </w:rPr>
      </w:pPr>
      <w:r w:rsidRPr="008D17D2">
        <w:rPr>
          <w:rFonts w:ascii="Century Gothic" w:hAnsi="Century Gothic"/>
          <w:lang w:val="es-ES_tradnl"/>
        </w:rPr>
        <w:t>L</w:t>
      </w:r>
      <w:r w:rsidR="00B56810" w:rsidRPr="008D17D2">
        <w:rPr>
          <w:rFonts w:ascii="Century Gothic" w:hAnsi="Century Gothic"/>
          <w:lang w:val="es-ES_tradnl"/>
        </w:rPr>
        <w:t>o</w:t>
      </w:r>
      <w:r w:rsidR="00B5352C" w:rsidRPr="008D17D2">
        <w:rPr>
          <w:rFonts w:ascii="Century Gothic" w:hAnsi="Century Gothic"/>
          <w:lang w:val="es-ES_tradnl"/>
        </w:rPr>
        <w:t xml:space="preserve">s </w:t>
      </w:r>
      <w:r w:rsidR="00B56810" w:rsidRPr="008D17D2">
        <w:rPr>
          <w:rFonts w:ascii="Century Gothic" w:eastAsia="Times New Roman" w:hAnsi="Century Gothic" w:cs="Arial"/>
          <w:lang w:eastAsia="es-SV"/>
        </w:rPr>
        <w:t>Organismos internacionales; agencias o instituciones de desarrollo de gobiernos extranjeros; gobiernos extranjeros; y corporaciones o fundaciones de utilidad pública domiciliadas en el exterior debidamente legalizadas por autoridades competentes de su país de origen</w:t>
      </w:r>
      <w:r w:rsidR="00B5352C" w:rsidRPr="008D17D2">
        <w:rPr>
          <w:rFonts w:ascii="Century Gothic" w:hAnsi="Century Gothic"/>
          <w:lang w:val="es-ES_tradnl"/>
        </w:rPr>
        <w:t>.</w:t>
      </w:r>
    </w:p>
    <w:p w:rsidR="00A23064" w:rsidRPr="008D17D2" w:rsidRDefault="00A23064" w:rsidP="00A23064">
      <w:pPr>
        <w:suppressAutoHyphens/>
        <w:spacing w:after="0" w:line="240" w:lineRule="auto"/>
        <w:ind w:left="1418"/>
        <w:jc w:val="both"/>
        <w:rPr>
          <w:rFonts w:ascii="Century Gothic" w:hAnsi="Century Gothic"/>
          <w:lang w:val="es-ES_tradnl"/>
        </w:rPr>
      </w:pPr>
    </w:p>
    <w:p w:rsidR="00A40CA5" w:rsidRPr="008D17D2" w:rsidRDefault="00A40CA5" w:rsidP="004B3BAC">
      <w:pPr>
        <w:numPr>
          <w:ilvl w:val="0"/>
          <w:numId w:val="15"/>
        </w:numPr>
        <w:suppressAutoHyphens/>
        <w:spacing w:after="0" w:line="240" w:lineRule="auto"/>
        <w:ind w:left="1418" w:hanging="567"/>
        <w:jc w:val="both"/>
        <w:rPr>
          <w:rFonts w:ascii="Century Gothic" w:hAnsi="Century Gothic"/>
          <w:lang w:val="es-ES_tradnl"/>
        </w:rPr>
      </w:pPr>
      <w:r w:rsidRPr="008D17D2">
        <w:rPr>
          <w:rFonts w:ascii="Century Gothic" w:hAnsi="Century Gothic"/>
          <w:lang w:val="es-ES_tradnl"/>
        </w:rPr>
        <w:t xml:space="preserve">Los sujetos pasivos con </w:t>
      </w:r>
      <w:r w:rsidR="005212E0" w:rsidRPr="008D17D2">
        <w:rPr>
          <w:rFonts w:ascii="Century Gothic" w:hAnsi="Century Gothic"/>
          <w:lang w:val="es-ES_tradnl"/>
        </w:rPr>
        <w:t xml:space="preserve">patrimonio neto </w:t>
      </w:r>
      <w:r w:rsidR="00E231E5">
        <w:rPr>
          <w:rFonts w:ascii="Century Gothic" w:hAnsi="Century Gothic"/>
          <w:lang w:val="es-ES_tradnl"/>
        </w:rPr>
        <w:t xml:space="preserve">igual o </w:t>
      </w:r>
      <w:r w:rsidR="005212E0" w:rsidRPr="008D17D2">
        <w:rPr>
          <w:rFonts w:ascii="Century Gothic" w:hAnsi="Century Gothic"/>
          <w:lang w:val="es-ES_tradnl"/>
        </w:rPr>
        <w:t xml:space="preserve">inferior a </w:t>
      </w:r>
      <w:r w:rsidR="00E231E5">
        <w:rPr>
          <w:rFonts w:ascii="Century Gothic" w:hAnsi="Century Gothic"/>
          <w:lang w:val="es-ES_tradnl"/>
        </w:rPr>
        <w:t xml:space="preserve">quinientos mil </w:t>
      </w:r>
      <w:r w:rsidR="005212E0" w:rsidRPr="008D17D2">
        <w:rPr>
          <w:rFonts w:ascii="Century Gothic" w:hAnsi="Century Gothic"/>
          <w:lang w:val="es-ES_tradnl"/>
        </w:rPr>
        <w:t>dólares.</w:t>
      </w:r>
    </w:p>
    <w:p w:rsidR="00A40CA5" w:rsidRDefault="00A40CA5" w:rsidP="00A40CA5">
      <w:pPr>
        <w:suppressAutoHyphens/>
        <w:spacing w:after="0" w:line="240" w:lineRule="auto"/>
        <w:jc w:val="both"/>
        <w:rPr>
          <w:rFonts w:ascii="Century Gothic" w:hAnsi="Century Gothic"/>
          <w:lang w:val="es-ES_tradnl"/>
        </w:rPr>
      </w:pPr>
    </w:p>
    <w:p w:rsidR="002871D1" w:rsidRDefault="00F81D10" w:rsidP="002871D1">
      <w:pPr>
        <w:suppressAutoHyphens/>
        <w:spacing w:after="0" w:line="240" w:lineRule="auto"/>
        <w:ind w:firstLine="851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Para efectos de lo dispuesto en este artículo, las Corporaciones o Fundaciones de Utilidad Pública deberán </w:t>
      </w:r>
      <w:r w:rsidR="00E96132">
        <w:rPr>
          <w:rFonts w:ascii="Century Gothic" w:hAnsi="Century Gothic"/>
          <w:lang w:val="es-ES_tradnl"/>
        </w:rPr>
        <w:t>estar</w:t>
      </w:r>
      <w:r>
        <w:rPr>
          <w:rFonts w:ascii="Century Gothic" w:hAnsi="Century Gothic"/>
          <w:lang w:val="es-ES_tradnl"/>
        </w:rPr>
        <w:t xml:space="preserve"> previamente calificadas </w:t>
      </w:r>
      <w:r w:rsidR="0069181A">
        <w:rPr>
          <w:rFonts w:ascii="Century Gothic" w:hAnsi="Century Gothic"/>
          <w:lang w:val="es-ES_tradnl"/>
        </w:rPr>
        <w:t xml:space="preserve">como sujetos excluidos </w:t>
      </w:r>
      <w:r w:rsidR="00401110">
        <w:rPr>
          <w:rFonts w:ascii="Century Gothic" w:hAnsi="Century Gothic"/>
          <w:lang w:val="es-ES_tradnl"/>
        </w:rPr>
        <w:t xml:space="preserve">del Impuesto sobre la Renta, </w:t>
      </w:r>
      <w:r>
        <w:rPr>
          <w:rFonts w:ascii="Century Gothic" w:hAnsi="Century Gothic"/>
          <w:lang w:val="es-ES_tradnl"/>
        </w:rPr>
        <w:t xml:space="preserve">de acuerdo a lo dispuesto en el Art. 6 de la Ley </w:t>
      </w:r>
      <w:r w:rsidR="00401110">
        <w:rPr>
          <w:rFonts w:ascii="Century Gothic" w:hAnsi="Century Gothic"/>
          <w:lang w:val="es-ES_tradnl"/>
        </w:rPr>
        <w:t>que regula el citado impuesto.</w:t>
      </w:r>
    </w:p>
    <w:p w:rsidR="00F81D10" w:rsidRDefault="00F81D10" w:rsidP="002871D1">
      <w:pPr>
        <w:suppressAutoHyphens/>
        <w:spacing w:after="0" w:line="240" w:lineRule="auto"/>
        <w:ind w:firstLine="851"/>
        <w:jc w:val="both"/>
        <w:rPr>
          <w:rFonts w:ascii="Century Gothic" w:hAnsi="Century Gothic"/>
          <w:lang w:val="es-ES_tradnl"/>
        </w:rPr>
      </w:pPr>
    </w:p>
    <w:p w:rsidR="00F81D10" w:rsidRPr="008D17D2" w:rsidRDefault="00F81D10" w:rsidP="002871D1">
      <w:pPr>
        <w:suppressAutoHyphens/>
        <w:spacing w:after="0" w:line="240" w:lineRule="auto"/>
        <w:ind w:firstLine="851"/>
        <w:jc w:val="both"/>
        <w:rPr>
          <w:rFonts w:ascii="Century Gothic" w:hAnsi="Century Gothic"/>
          <w:lang w:val="es-ES_tradnl"/>
        </w:rPr>
      </w:pPr>
    </w:p>
    <w:p w:rsidR="00196D7B" w:rsidRPr="008D17D2" w:rsidRDefault="00196D7B" w:rsidP="004B3BAC">
      <w:pPr>
        <w:spacing w:after="0" w:line="240" w:lineRule="auto"/>
        <w:jc w:val="both"/>
        <w:rPr>
          <w:rFonts w:ascii="Century Gothic" w:eastAsia="Times New Roman" w:hAnsi="Century Gothic" w:cs="Arial"/>
          <w:b/>
          <w:lang w:val="es-ES_tradnl" w:eastAsia="es-SV"/>
        </w:rPr>
      </w:pPr>
      <w:r w:rsidRPr="008D17D2">
        <w:rPr>
          <w:rFonts w:ascii="Century Gothic" w:eastAsia="Times New Roman" w:hAnsi="Century Gothic" w:cs="Arial"/>
          <w:b/>
          <w:lang w:val="es-ES_tradnl" w:eastAsia="es-SV"/>
        </w:rPr>
        <w:t xml:space="preserve">Obligados a declarar el </w:t>
      </w:r>
      <w:r w:rsidR="004D531A" w:rsidRPr="008D17D2">
        <w:rPr>
          <w:rFonts w:ascii="Century Gothic" w:eastAsia="Times New Roman" w:hAnsi="Century Gothic" w:cs="Arial"/>
          <w:b/>
          <w:lang w:val="es-ES_tradnl" w:eastAsia="es-SV"/>
        </w:rPr>
        <w:t>i</w:t>
      </w:r>
      <w:r w:rsidRPr="008D17D2">
        <w:rPr>
          <w:rFonts w:ascii="Century Gothic" w:eastAsia="Times New Roman" w:hAnsi="Century Gothic" w:cs="Arial"/>
          <w:b/>
          <w:lang w:val="es-ES_tradnl" w:eastAsia="es-SV"/>
        </w:rPr>
        <w:t>mpuesto</w:t>
      </w:r>
    </w:p>
    <w:p w:rsidR="00CD08BC" w:rsidRPr="008D17D2" w:rsidRDefault="00CD08BC" w:rsidP="00196D7B">
      <w:pPr>
        <w:spacing w:after="0" w:line="240" w:lineRule="auto"/>
        <w:jc w:val="both"/>
        <w:rPr>
          <w:rFonts w:ascii="Century Gothic" w:hAnsi="Century Gothic" w:cs="Arial"/>
          <w:lang w:val="es-ES_tradnl"/>
        </w:rPr>
      </w:pPr>
    </w:p>
    <w:p w:rsidR="00CD08BC" w:rsidRPr="008D17D2" w:rsidRDefault="00CD08BC" w:rsidP="00D919C1">
      <w:pPr>
        <w:spacing w:after="0" w:line="240" w:lineRule="auto"/>
        <w:ind w:firstLine="851"/>
        <w:jc w:val="both"/>
        <w:rPr>
          <w:rFonts w:ascii="Century Gothic" w:hAnsi="Century Gothic" w:cs="Arial"/>
          <w:lang w:val="es-ES"/>
        </w:rPr>
      </w:pPr>
      <w:r w:rsidRPr="008D17D2">
        <w:rPr>
          <w:rFonts w:ascii="Century Gothic" w:hAnsi="Century Gothic" w:cs="Arial"/>
          <w:b/>
          <w:lang w:val="es-ES"/>
        </w:rPr>
        <w:t xml:space="preserve">Artículo </w:t>
      </w:r>
      <w:r w:rsidR="00DA3E6A" w:rsidRPr="008D17D2">
        <w:rPr>
          <w:rFonts w:ascii="Century Gothic" w:hAnsi="Century Gothic" w:cs="Arial"/>
          <w:b/>
          <w:lang w:val="es-ES"/>
        </w:rPr>
        <w:t>10</w:t>
      </w:r>
      <w:r w:rsidRPr="008D17D2">
        <w:rPr>
          <w:rFonts w:ascii="Century Gothic" w:hAnsi="Century Gothic" w:cs="Arial"/>
          <w:lang w:val="es-ES"/>
        </w:rPr>
        <w:t xml:space="preserve">.- </w:t>
      </w:r>
      <w:r w:rsidR="001135EA">
        <w:rPr>
          <w:rFonts w:ascii="Century Gothic" w:hAnsi="Century Gothic" w:cs="Arial"/>
          <w:lang w:val="es-ES"/>
        </w:rPr>
        <w:t xml:space="preserve">Todo el que conforme a esta ley sea sujeto pasivo del impuesto, esté registrado o no, está obligado a formular, ante la Dirección </w:t>
      </w:r>
      <w:r w:rsidR="001135EA">
        <w:rPr>
          <w:rFonts w:ascii="Century Gothic" w:hAnsi="Century Gothic" w:cs="Arial"/>
          <w:lang w:val="es-ES"/>
        </w:rPr>
        <w:lastRenderedPageBreak/>
        <w:t>General de Impuestos Internos, liquidación de su patrimonio neto y del impuesto respectivo y pago del mismo por medio de declaración jurada en los formularios suministrados por la misma Dirección General. También están obligados a formular esa liquidación por medio de declaración jurada, aquellos que posean</w:t>
      </w:r>
      <w:r w:rsidR="00A0400B" w:rsidRPr="008D17D2">
        <w:rPr>
          <w:rFonts w:ascii="Century Gothic" w:hAnsi="Century Gothic" w:cs="Arial"/>
          <w:lang w:val="es-ES"/>
        </w:rPr>
        <w:t xml:space="preserve"> patrimonio </w:t>
      </w:r>
      <w:r w:rsidR="00C35F93" w:rsidRPr="008D17D2">
        <w:rPr>
          <w:rFonts w:ascii="Century Gothic" w:hAnsi="Century Gothic" w:cs="Arial"/>
          <w:lang w:val="es-ES"/>
        </w:rPr>
        <w:t xml:space="preserve">neto </w:t>
      </w:r>
      <w:r w:rsidR="00A0400B" w:rsidRPr="008D17D2">
        <w:rPr>
          <w:rFonts w:ascii="Century Gothic" w:hAnsi="Century Gothic" w:cs="Arial"/>
          <w:lang w:val="es-ES"/>
        </w:rPr>
        <w:t>superior</w:t>
      </w:r>
      <w:r w:rsidRPr="008D17D2">
        <w:rPr>
          <w:rFonts w:ascii="Century Gothic" w:hAnsi="Century Gothic" w:cs="Arial"/>
          <w:lang w:val="es-ES"/>
        </w:rPr>
        <w:t xml:space="preserve"> a </w:t>
      </w:r>
      <w:r w:rsidR="004D01B2" w:rsidRPr="008D17D2">
        <w:rPr>
          <w:rFonts w:ascii="Century Gothic" w:hAnsi="Century Gothic" w:cs="Arial"/>
          <w:lang w:val="es-ES"/>
        </w:rPr>
        <w:t>trescientos mil dólares</w:t>
      </w:r>
      <w:r w:rsidRPr="008D17D2">
        <w:rPr>
          <w:rFonts w:ascii="Century Gothic" w:hAnsi="Century Gothic" w:cs="Arial"/>
          <w:lang w:val="es-ES"/>
        </w:rPr>
        <w:t>, aunque no se encuentren obligados al pago del presente impuesto.</w:t>
      </w:r>
    </w:p>
    <w:p w:rsidR="00946A5D" w:rsidRPr="008D17D2" w:rsidRDefault="00946A5D" w:rsidP="00D919C1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val="es-ES" w:eastAsia="es-SV"/>
        </w:rPr>
      </w:pPr>
    </w:p>
    <w:p w:rsidR="00706E80" w:rsidRPr="008D17D2" w:rsidRDefault="00706E80" w:rsidP="00706E8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Carácter extraordinario del </w:t>
      </w:r>
      <w:r w:rsidR="004D531A" w:rsidRPr="008D17D2">
        <w:rPr>
          <w:rFonts w:ascii="Century Gothic" w:eastAsia="Times New Roman" w:hAnsi="Century Gothic" w:cs="Arial"/>
          <w:b/>
          <w:bCs/>
          <w:lang w:eastAsia="es-SV"/>
        </w:rPr>
        <w:t>i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mpuesto y plazo para el pago.</w:t>
      </w:r>
    </w:p>
    <w:p w:rsidR="00706E80" w:rsidRPr="008D17D2" w:rsidRDefault="00706E80" w:rsidP="00706E8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ED5346" w:rsidRPr="008D17D2" w:rsidRDefault="00706E80" w:rsidP="00706E80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Artículo 1</w:t>
      </w:r>
      <w:r w:rsidR="00DA3E6A" w:rsidRPr="008D17D2">
        <w:rPr>
          <w:rFonts w:ascii="Century Gothic" w:eastAsia="Times New Roman" w:hAnsi="Century Gothic" w:cs="Arial"/>
          <w:b/>
          <w:lang w:eastAsia="es-SV"/>
        </w:rPr>
        <w:t>1</w:t>
      </w:r>
      <w:r w:rsidRPr="008D17D2">
        <w:rPr>
          <w:rFonts w:ascii="Century Gothic" w:eastAsia="Times New Roman" w:hAnsi="Century Gothic" w:cs="Arial"/>
          <w:lang w:eastAsia="es-SV"/>
        </w:rPr>
        <w:t>.- El impuesto es de carácter extraordinario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 y temporal</w:t>
      </w:r>
      <w:r w:rsidRPr="008D17D2">
        <w:rPr>
          <w:rFonts w:ascii="Century Gothic" w:eastAsia="Times New Roman" w:hAnsi="Century Gothic" w:cs="Arial"/>
          <w:lang w:eastAsia="es-SV"/>
        </w:rPr>
        <w:t xml:space="preserve">, se causará para el patrimonio al cierre del ejercicio o período de imposición de 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los años </w:t>
      </w:r>
      <w:r w:rsidRPr="008D17D2">
        <w:rPr>
          <w:rFonts w:ascii="Century Gothic" w:eastAsia="Times New Roman" w:hAnsi="Century Gothic" w:cs="Arial"/>
          <w:lang w:eastAsia="es-SV"/>
        </w:rPr>
        <w:t>2011,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 2012, 2013 y 2014,</w:t>
      </w:r>
      <w:r w:rsidRPr="008D17D2">
        <w:rPr>
          <w:rFonts w:ascii="Century Gothic" w:eastAsia="Times New Roman" w:hAnsi="Century Gothic" w:cs="Arial"/>
          <w:lang w:eastAsia="es-SV"/>
        </w:rPr>
        <w:t xml:space="preserve"> se liquidará  mediante formulario por medios magnéticos o electrónicos, con los requisitos y especificaciones técnicas que establezca la Dirección General de Impuestos Internos, 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a más tardar </w:t>
      </w:r>
      <w:r w:rsidR="00B11D45" w:rsidRPr="008D17D2">
        <w:rPr>
          <w:rFonts w:ascii="Century Gothic" w:eastAsia="Times New Roman" w:hAnsi="Century Gothic" w:cs="Arial"/>
          <w:lang w:eastAsia="es-SV"/>
        </w:rPr>
        <w:t>dentro los cuatro meses siguientes al cierre del ejercicio inmediato anterior</w:t>
      </w:r>
      <w:r w:rsidR="00ED5346" w:rsidRPr="008D17D2">
        <w:rPr>
          <w:rFonts w:ascii="Century Gothic" w:eastAsia="Times New Roman" w:hAnsi="Century Gothic" w:cs="Arial"/>
          <w:lang w:eastAsia="es-SV"/>
        </w:rPr>
        <w:t xml:space="preserve">. </w:t>
      </w:r>
    </w:p>
    <w:p w:rsidR="00ED5346" w:rsidRPr="008D17D2" w:rsidRDefault="00ED5346" w:rsidP="00706E80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706E80" w:rsidRPr="008D17D2" w:rsidRDefault="00ED5346" w:rsidP="00706E80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La Dirección General de Tesorería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 podrá </w:t>
      </w:r>
      <w:r w:rsidRPr="008D17D2">
        <w:rPr>
          <w:rFonts w:ascii="Century Gothic" w:eastAsia="Times New Roman" w:hAnsi="Century Gothic" w:cs="Arial"/>
          <w:lang w:eastAsia="es-SV"/>
        </w:rPr>
        <w:t xml:space="preserve">conceder facilidades de pago, hasta de </w:t>
      </w:r>
      <w:r w:rsidR="00706E80" w:rsidRPr="008D17D2">
        <w:rPr>
          <w:rFonts w:ascii="Century Gothic" w:eastAsia="Times New Roman" w:hAnsi="Century Gothic" w:cs="Arial"/>
          <w:lang w:eastAsia="es-SV"/>
        </w:rPr>
        <w:t xml:space="preserve">seis cuotas mensuales iguales y sucesivas, </w:t>
      </w:r>
      <w:r w:rsidR="00F17A52" w:rsidRPr="008D17D2">
        <w:rPr>
          <w:rFonts w:ascii="Century Gothic" w:eastAsia="Times New Roman" w:hAnsi="Century Gothic" w:cs="Arial"/>
          <w:lang w:eastAsia="es-SV"/>
        </w:rPr>
        <w:t>sin intereses</w:t>
      </w:r>
      <w:r w:rsidR="00397802" w:rsidRPr="008D17D2">
        <w:rPr>
          <w:rFonts w:ascii="Century Gothic" w:eastAsia="Times New Roman" w:hAnsi="Century Gothic" w:cs="Arial"/>
          <w:lang w:eastAsia="es-SV"/>
        </w:rPr>
        <w:t>.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Pr="008D17D2">
        <w:rPr>
          <w:rFonts w:ascii="Century Gothic" w:eastAsia="Times New Roman" w:hAnsi="Century Gothic" w:cs="Arial"/>
          <w:lang w:eastAsia="es-SV"/>
        </w:rPr>
        <w:t xml:space="preserve">En caso que proceda la concesión de pago a plazos, la primera cuota deberá pagarse </w:t>
      </w:r>
      <w:r w:rsidR="00225B9C">
        <w:rPr>
          <w:rFonts w:ascii="Century Gothic" w:eastAsia="Times New Roman" w:hAnsi="Century Gothic" w:cs="Arial"/>
          <w:lang w:eastAsia="es-SV"/>
        </w:rPr>
        <w:t xml:space="preserve">a más tardar </w:t>
      </w:r>
      <w:r w:rsidRPr="008D17D2">
        <w:rPr>
          <w:rFonts w:ascii="Century Gothic" w:eastAsia="Times New Roman" w:hAnsi="Century Gothic" w:cs="Arial"/>
          <w:lang w:eastAsia="es-SV"/>
        </w:rPr>
        <w:t xml:space="preserve">el 30 de abril. </w:t>
      </w:r>
      <w:r w:rsidR="00F17A52" w:rsidRPr="008D17D2">
        <w:rPr>
          <w:rFonts w:ascii="Century Gothic" w:eastAsia="Times New Roman" w:hAnsi="Century Gothic" w:cs="Arial"/>
          <w:lang w:eastAsia="es-SV"/>
        </w:rPr>
        <w:t xml:space="preserve">El incumplimiento en el pago de algunas de las cuotas, hará exigible el pago total del impuesto y causará el pago de intereses en razón de la mora, de acuerdo al </w:t>
      </w:r>
      <w:r w:rsidR="00F41044" w:rsidRPr="008D17D2">
        <w:rPr>
          <w:rFonts w:ascii="Century Gothic" w:eastAsia="Times New Roman" w:hAnsi="Century Gothic" w:cs="Arial"/>
          <w:lang w:eastAsia="es-SV"/>
        </w:rPr>
        <w:t>Decreto Legislativo Número 720 de fecha veinticuatro de noviembre de 1993, publicado en el Diario oficial No 1 tomo No 322, del 3 de enero de 1994</w:t>
      </w:r>
    </w:p>
    <w:p w:rsidR="00706E80" w:rsidRPr="008D17D2" w:rsidRDefault="00706E80" w:rsidP="00706E80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</w:p>
    <w:p w:rsidR="00D360DB" w:rsidRPr="008D17D2" w:rsidRDefault="00FA690C" w:rsidP="00B5352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trike/>
          <w:lang w:eastAsia="es-SV"/>
        </w:rPr>
      </w:pPr>
      <w:r>
        <w:rPr>
          <w:rFonts w:ascii="Century Gothic" w:eastAsia="Times New Roman" w:hAnsi="Century Gothic"/>
          <w:noProof/>
          <w:lang w:eastAsia="es-SV"/>
        </w:rPr>
        <w:drawing>
          <wp:inline distT="0" distB="0" distL="0" distR="0">
            <wp:extent cx="8255" cy="8255"/>
            <wp:effectExtent l="0" t="0" r="0" b="0"/>
            <wp:docPr id="4" name="Imagen 65" descr="http://www.dian.gov.co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 descr="http://www.dian.gov.co/icons/ec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A66" w:rsidRPr="008D17D2">
        <w:rPr>
          <w:rFonts w:ascii="Century Gothic" w:eastAsia="Times New Roman" w:hAnsi="Century Gothic" w:cs="Arial"/>
          <w:b/>
          <w:bCs/>
          <w:lang w:eastAsia="es-SV"/>
        </w:rPr>
        <w:t xml:space="preserve"> Normas aplicables al impuesto </w:t>
      </w:r>
    </w:p>
    <w:p w:rsidR="00890A66" w:rsidRPr="008D17D2" w:rsidRDefault="00890A66" w:rsidP="00890A6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D360DB" w:rsidRPr="008D17D2" w:rsidRDefault="00D360DB" w:rsidP="00890A66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C53C05" w:rsidRPr="008D17D2">
        <w:rPr>
          <w:rFonts w:ascii="Century Gothic" w:eastAsia="Times New Roman" w:hAnsi="Century Gothic" w:cs="Arial"/>
          <w:b/>
          <w:bCs/>
          <w:lang w:eastAsia="es-SV"/>
        </w:rPr>
        <w:t>1</w:t>
      </w:r>
      <w:r w:rsidR="00DA3E6A" w:rsidRPr="008D17D2">
        <w:rPr>
          <w:rFonts w:ascii="Century Gothic" w:eastAsia="Times New Roman" w:hAnsi="Century Gothic" w:cs="Arial"/>
          <w:b/>
          <w:bCs/>
          <w:lang w:eastAsia="es-SV"/>
        </w:rPr>
        <w:t>2</w:t>
      </w:r>
      <w:r w:rsidR="00890A66" w:rsidRPr="008D17D2">
        <w:rPr>
          <w:rFonts w:ascii="Century Gothic" w:eastAsia="Times New Roman" w:hAnsi="Century Gothic" w:cs="Arial"/>
          <w:b/>
          <w:bCs/>
          <w:lang w:eastAsia="es-SV"/>
        </w:rPr>
        <w:t xml:space="preserve">.- </w:t>
      </w:r>
      <w:r w:rsidR="00276827">
        <w:rPr>
          <w:rFonts w:ascii="Century Gothic" w:eastAsia="Times New Roman" w:hAnsi="Century Gothic" w:cs="Arial"/>
          <w:bCs/>
          <w:lang w:eastAsia="es-SV"/>
        </w:rPr>
        <w:t xml:space="preserve">Al presente </w:t>
      </w:r>
      <w:r w:rsidRPr="008D17D2">
        <w:rPr>
          <w:rFonts w:ascii="Century Gothic" w:eastAsia="Times New Roman" w:hAnsi="Century Gothic" w:cs="Arial"/>
          <w:lang w:eastAsia="es-SV"/>
        </w:rPr>
        <w:t xml:space="preserve">impuesto </w:t>
      </w:r>
      <w:r w:rsidR="00276827">
        <w:rPr>
          <w:rFonts w:ascii="Century Gothic" w:eastAsia="Times New Roman" w:hAnsi="Century Gothic" w:cs="Arial"/>
          <w:lang w:eastAsia="es-SV"/>
        </w:rPr>
        <w:t xml:space="preserve">le serán aplicables </w:t>
      </w:r>
      <w:r w:rsidR="00890A66" w:rsidRPr="008D17D2">
        <w:rPr>
          <w:rFonts w:ascii="Century Gothic" w:eastAsia="Times New Roman" w:hAnsi="Century Gothic" w:cs="Arial"/>
          <w:lang w:eastAsia="es-SV"/>
        </w:rPr>
        <w:t xml:space="preserve">las normas sobre </w:t>
      </w:r>
      <w:r w:rsidR="00FF1CEE" w:rsidRPr="008D17D2">
        <w:rPr>
          <w:rFonts w:ascii="Century Gothic" w:eastAsia="Times New Roman" w:hAnsi="Century Gothic" w:cs="Arial"/>
          <w:lang w:eastAsia="es-SV"/>
        </w:rPr>
        <w:t xml:space="preserve">presentación de </w:t>
      </w:r>
      <w:r w:rsidR="00890A66" w:rsidRPr="008D17D2">
        <w:rPr>
          <w:rFonts w:ascii="Century Gothic" w:eastAsia="Times New Roman" w:hAnsi="Century Gothic" w:cs="Arial"/>
          <w:lang w:eastAsia="es-SV"/>
        </w:rPr>
        <w:t xml:space="preserve">declaración y </w:t>
      </w:r>
      <w:r w:rsidR="00FF1CEE" w:rsidRPr="008D17D2">
        <w:rPr>
          <w:rFonts w:ascii="Century Gothic" w:eastAsia="Times New Roman" w:hAnsi="Century Gothic" w:cs="Arial"/>
          <w:lang w:eastAsia="es-SV"/>
        </w:rPr>
        <w:t xml:space="preserve">liquidación </w:t>
      </w:r>
      <w:r w:rsidR="00890A66" w:rsidRPr="008D17D2">
        <w:rPr>
          <w:rFonts w:ascii="Century Gothic" w:eastAsia="Times New Roman" w:hAnsi="Century Gothic" w:cs="Arial"/>
          <w:lang w:eastAsia="es-SV"/>
        </w:rPr>
        <w:t>reguladas en la Ley de Impuesto sobre la Renta</w:t>
      </w:r>
      <w:r w:rsidRPr="008D17D2">
        <w:rPr>
          <w:rFonts w:ascii="Century Gothic" w:eastAsia="Times New Roman" w:hAnsi="Century Gothic" w:cs="Arial"/>
          <w:lang w:eastAsia="es-SV"/>
        </w:rPr>
        <w:t xml:space="preserve">, </w:t>
      </w:r>
      <w:r w:rsidR="00890A66" w:rsidRPr="008D17D2">
        <w:rPr>
          <w:rFonts w:ascii="Century Gothic" w:eastAsia="Times New Roman" w:hAnsi="Century Gothic" w:cs="Arial"/>
          <w:lang w:eastAsia="es-SV"/>
        </w:rPr>
        <w:t>y a las normas de procedimientos y sanciones reguladas en el Código Tributario.</w:t>
      </w:r>
    </w:p>
    <w:p w:rsidR="00890A66" w:rsidRDefault="00890A66" w:rsidP="00D7216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380776" w:rsidRPr="00380776" w:rsidRDefault="00380776" w:rsidP="00D7216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FF0000"/>
          <w:lang w:eastAsia="es-SV"/>
        </w:rPr>
      </w:pPr>
      <w:r w:rsidRPr="00380776">
        <w:rPr>
          <w:rFonts w:ascii="Century Gothic" w:eastAsia="Times New Roman" w:hAnsi="Century Gothic" w:cs="Arial"/>
          <w:b/>
          <w:bCs/>
          <w:color w:val="FF0000"/>
          <w:lang w:eastAsia="es-SV"/>
        </w:rPr>
        <w:t>Norma</w:t>
      </w:r>
      <w:r w:rsidR="007821CA">
        <w:rPr>
          <w:rFonts w:ascii="Century Gothic" w:eastAsia="Times New Roman" w:hAnsi="Century Gothic" w:cs="Arial"/>
          <w:b/>
          <w:bCs/>
          <w:color w:val="FF0000"/>
          <w:lang w:eastAsia="es-SV"/>
        </w:rPr>
        <w:t>s</w:t>
      </w:r>
      <w:r w:rsidRPr="00380776">
        <w:rPr>
          <w:rFonts w:ascii="Century Gothic" w:eastAsia="Times New Roman" w:hAnsi="Century Gothic" w:cs="Arial"/>
          <w:b/>
          <w:bCs/>
          <w:color w:val="FF0000"/>
          <w:lang w:eastAsia="es-SV"/>
        </w:rPr>
        <w:t xml:space="preserve"> </w:t>
      </w:r>
      <w:r w:rsidR="007821CA">
        <w:rPr>
          <w:rFonts w:ascii="Century Gothic" w:eastAsia="Times New Roman" w:hAnsi="Century Gothic" w:cs="Arial"/>
          <w:b/>
          <w:bCs/>
          <w:color w:val="FF0000"/>
          <w:lang w:eastAsia="es-SV"/>
        </w:rPr>
        <w:t>antielusivas</w:t>
      </w:r>
    </w:p>
    <w:p w:rsidR="00380776" w:rsidRDefault="00380776" w:rsidP="00D7216C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FF0000"/>
          <w:lang w:eastAsia="es-SV"/>
        </w:rPr>
      </w:pPr>
    </w:p>
    <w:p w:rsidR="007821CA" w:rsidRPr="007821CA" w:rsidRDefault="00380776" w:rsidP="0038077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Cs/>
          <w:color w:val="FF0000"/>
          <w:lang w:eastAsia="es-SV"/>
        </w:rPr>
      </w:pPr>
      <w:r>
        <w:rPr>
          <w:rFonts w:ascii="Century Gothic" w:eastAsia="Times New Roman" w:hAnsi="Century Gothic" w:cs="Arial"/>
          <w:b/>
          <w:bCs/>
          <w:color w:val="FF0000"/>
          <w:lang w:eastAsia="es-SV"/>
        </w:rPr>
        <w:t xml:space="preserve">Artículo </w:t>
      </w:r>
      <w:r w:rsidR="00A97918">
        <w:rPr>
          <w:rFonts w:ascii="Century Gothic" w:eastAsia="Times New Roman" w:hAnsi="Century Gothic" w:cs="Arial"/>
          <w:b/>
          <w:bCs/>
          <w:color w:val="FF0000"/>
          <w:lang w:eastAsia="es-SV"/>
        </w:rPr>
        <w:t>13</w:t>
      </w:r>
      <w:r>
        <w:rPr>
          <w:rFonts w:ascii="Century Gothic" w:eastAsia="Times New Roman" w:hAnsi="Century Gothic" w:cs="Arial"/>
          <w:b/>
          <w:bCs/>
          <w:color w:val="FF0000"/>
          <w:lang w:eastAsia="es-SV"/>
        </w:rPr>
        <w:t xml:space="preserve">.- </w:t>
      </w:r>
      <w:r w:rsidR="007821CA" w:rsidRPr="007821CA">
        <w:rPr>
          <w:rFonts w:ascii="Century Gothic" w:eastAsia="Times New Roman" w:hAnsi="Century Gothic" w:cs="Arial"/>
          <w:bCs/>
          <w:color w:val="FF0000"/>
          <w:lang w:eastAsia="es-SV"/>
        </w:rPr>
        <w:t>Se e</w:t>
      </w:r>
      <w:r w:rsidR="007821CA">
        <w:rPr>
          <w:rFonts w:ascii="Century Gothic" w:eastAsia="Times New Roman" w:hAnsi="Century Gothic" w:cs="Arial"/>
          <w:bCs/>
          <w:color w:val="FF0000"/>
          <w:lang w:eastAsia="es-SV"/>
        </w:rPr>
        <w:t>stablecen las siguientes normas</w:t>
      </w:r>
      <w:r w:rsidR="007821CA" w:rsidRPr="007821CA">
        <w:rPr>
          <w:rFonts w:ascii="Century Gothic" w:eastAsia="Times New Roman" w:hAnsi="Century Gothic" w:cs="Arial"/>
          <w:bCs/>
          <w:color w:val="FF0000"/>
          <w:lang w:eastAsia="es-SV"/>
        </w:rPr>
        <w:t>:</w:t>
      </w:r>
    </w:p>
    <w:p w:rsidR="007821CA" w:rsidRPr="007821CA" w:rsidRDefault="007821CA" w:rsidP="0038077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Cs/>
          <w:color w:val="FF0000"/>
          <w:lang w:eastAsia="es-SV"/>
        </w:rPr>
      </w:pPr>
    </w:p>
    <w:p w:rsidR="00380776" w:rsidRDefault="00380776" w:rsidP="007821CA">
      <w:pPr>
        <w:numPr>
          <w:ilvl w:val="0"/>
          <w:numId w:val="25"/>
        </w:numPr>
        <w:spacing w:after="0" w:line="240" w:lineRule="auto"/>
        <w:jc w:val="both"/>
        <w:rPr>
          <w:rFonts w:ascii="Century Gothic" w:eastAsia="Times New Roman" w:hAnsi="Century Gothic" w:cs="Arial"/>
          <w:bCs/>
          <w:color w:val="FF0000"/>
          <w:lang w:eastAsia="es-SV"/>
        </w:rPr>
      </w:pPr>
      <w:r w:rsidRPr="007821CA">
        <w:rPr>
          <w:rFonts w:ascii="Century Gothic" w:eastAsia="Times New Roman" w:hAnsi="Century Gothic" w:cs="Arial"/>
          <w:bCs/>
          <w:color w:val="FF0000"/>
          <w:lang w:eastAsia="es-SV"/>
        </w:rPr>
        <w:t>L</w:t>
      </w:r>
      <w:r w:rsidR="007821CA">
        <w:rPr>
          <w:rFonts w:ascii="Century Gothic" w:eastAsia="Times New Roman" w:hAnsi="Century Gothic" w:cs="Arial"/>
          <w:bCs/>
          <w:color w:val="FF0000"/>
          <w:lang w:eastAsia="es-SV"/>
        </w:rPr>
        <w:t>as personas naturales que a la entrada de vigencia de la Ley y previo al cierre del ejercicio o período de imposición, transfieran a cualquier título bienes a su cónyuge o a sus parientes dentro del cuarto grado de consanguinidad o afinidad, deberán sumar el valor de dichos bienes a su propio patrimonio y pagar el impuesto correspondiente.</w:t>
      </w:r>
    </w:p>
    <w:p w:rsidR="007821CA" w:rsidRDefault="007821CA" w:rsidP="007821CA">
      <w:pPr>
        <w:spacing w:after="0" w:line="240" w:lineRule="auto"/>
        <w:ind w:left="1211"/>
        <w:jc w:val="both"/>
        <w:rPr>
          <w:rFonts w:ascii="Century Gothic" w:eastAsia="Times New Roman" w:hAnsi="Century Gothic" w:cs="Arial"/>
          <w:bCs/>
          <w:color w:val="FF0000"/>
          <w:lang w:eastAsia="es-SV"/>
        </w:rPr>
      </w:pPr>
    </w:p>
    <w:p w:rsidR="007821CA" w:rsidRPr="00553E91" w:rsidRDefault="007821CA" w:rsidP="007821CA">
      <w:pPr>
        <w:numPr>
          <w:ilvl w:val="0"/>
          <w:numId w:val="25"/>
        </w:numPr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1F497D"/>
          <w:lang w:eastAsia="es-SV"/>
        </w:rPr>
      </w:pPr>
      <w:r>
        <w:rPr>
          <w:rFonts w:ascii="Century Gothic" w:eastAsia="Times New Roman" w:hAnsi="Century Gothic" w:cs="Arial"/>
          <w:bCs/>
          <w:color w:val="FF0000"/>
          <w:lang w:eastAsia="es-SV"/>
        </w:rPr>
        <w:t xml:space="preserve">Los sujetos que </w:t>
      </w:r>
      <w:r w:rsidR="00B61C5C">
        <w:rPr>
          <w:rFonts w:ascii="Century Gothic" w:eastAsia="Times New Roman" w:hAnsi="Century Gothic" w:cs="Arial"/>
          <w:bCs/>
          <w:color w:val="FF0000"/>
          <w:lang w:eastAsia="es-SV"/>
        </w:rPr>
        <w:t>sean prestatarios de contratos de arrendamiento o usufructuarios, con</w:t>
      </w:r>
      <w:r>
        <w:rPr>
          <w:rFonts w:ascii="Century Gothic" w:eastAsia="Times New Roman" w:hAnsi="Century Gothic" w:cs="Arial"/>
          <w:bCs/>
          <w:color w:val="FF0000"/>
          <w:lang w:eastAsia="es-SV"/>
        </w:rPr>
        <w:t xml:space="preserve"> entidades cuyos activos estén constituidos por inmuebles en un porcentaje superior al cincuenta por ciento</w:t>
      </w:r>
      <w:r w:rsidR="00B61C5C">
        <w:rPr>
          <w:rFonts w:ascii="Century Gothic" w:eastAsia="Times New Roman" w:hAnsi="Century Gothic" w:cs="Arial"/>
          <w:bCs/>
          <w:color w:val="FF0000"/>
          <w:lang w:eastAsia="es-SV"/>
        </w:rPr>
        <w:t xml:space="preserve"> (50%) o que el valor del contrato representa más del setenta y cinco por ciento(75%) de sus ingresos,</w:t>
      </w:r>
      <w:r>
        <w:rPr>
          <w:rFonts w:ascii="Century Gothic" w:eastAsia="Times New Roman" w:hAnsi="Century Gothic" w:cs="Arial"/>
          <w:bCs/>
          <w:color w:val="FF0000"/>
          <w:lang w:eastAsia="es-SV"/>
        </w:rPr>
        <w:t xml:space="preserve"> deberán sumar el </w:t>
      </w:r>
      <w:r w:rsidR="00B61C5C">
        <w:rPr>
          <w:rFonts w:ascii="Century Gothic" w:eastAsia="Times New Roman" w:hAnsi="Century Gothic" w:cs="Arial"/>
          <w:bCs/>
          <w:color w:val="FF0000"/>
          <w:lang w:eastAsia="es-SV"/>
        </w:rPr>
        <w:t xml:space="preserve">precio del contrato </w:t>
      </w:r>
      <w:r>
        <w:rPr>
          <w:rFonts w:ascii="Century Gothic" w:eastAsia="Times New Roman" w:hAnsi="Century Gothic" w:cs="Arial"/>
          <w:bCs/>
          <w:color w:val="FF0000"/>
          <w:lang w:eastAsia="es-SV"/>
        </w:rPr>
        <w:t xml:space="preserve">a su </w:t>
      </w:r>
      <w:r>
        <w:rPr>
          <w:rFonts w:ascii="Century Gothic" w:eastAsia="Times New Roman" w:hAnsi="Century Gothic" w:cs="Arial"/>
          <w:bCs/>
          <w:color w:val="FF0000"/>
          <w:lang w:eastAsia="es-SV"/>
        </w:rPr>
        <w:lastRenderedPageBreak/>
        <w:t>propio patrimonio y pagar el impuesto respectivo.</w:t>
      </w:r>
      <w:r w:rsidR="001A1E8B">
        <w:rPr>
          <w:rFonts w:ascii="Century Gothic" w:eastAsia="Times New Roman" w:hAnsi="Century Gothic" w:cs="Arial"/>
          <w:bCs/>
          <w:color w:val="FF0000"/>
          <w:lang w:eastAsia="es-SV"/>
        </w:rPr>
        <w:t xml:space="preserve"> </w:t>
      </w:r>
      <w:r w:rsidR="001A1E8B" w:rsidRPr="00553E91">
        <w:rPr>
          <w:rFonts w:ascii="Century Gothic" w:eastAsia="Times New Roman" w:hAnsi="Century Gothic" w:cs="Arial"/>
          <w:b/>
          <w:bCs/>
          <w:color w:val="1F497D"/>
          <w:lang w:eastAsia="es-SV"/>
        </w:rPr>
        <w:t>(aclarar la regla de vinculación)</w:t>
      </w:r>
    </w:p>
    <w:p w:rsidR="00380776" w:rsidRPr="00380776" w:rsidRDefault="00380776" w:rsidP="0038077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Cs/>
          <w:color w:val="FF0000"/>
          <w:lang w:eastAsia="es-SV"/>
        </w:rPr>
      </w:pPr>
    </w:p>
    <w:p w:rsidR="00D360DB" w:rsidRPr="008D17D2" w:rsidRDefault="00FA690C" w:rsidP="00706E80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s-SV"/>
        </w:rPr>
      </w:pPr>
      <w:r>
        <w:rPr>
          <w:rFonts w:ascii="Century Gothic" w:eastAsia="Times New Roman" w:hAnsi="Century Gothic"/>
          <w:noProof/>
          <w:color w:val="FF0000"/>
          <w:lang w:eastAsia="es-SV"/>
        </w:rPr>
        <w:drawing>
          <wp:inline distT="0" distB="0" distL="0" distR="0">
            <wp:extent cx="8255" cy="8255"/>
            <wp:effectExtent l="0" t="0" r="0" b="0"/>
            <wp:docPr id="5" name="Imagen 55" descr="http://www.dian.gov.co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 descr="http://www.dian.gov.co/icons/ecblank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A66" w:rsidRPr="008D17D2">
        <w:rPr>
          <w:rFonts w:ascii="Century Gothic" w:eastAsia="Times New Roman" w:hAnsi="Century Gothic" w:cs="Arial"/>
          <w:b/>
          <w:bCs/>
          <w:lang w:eastAsia="es-SV"/>
        </w:rPr>
        <w:t>Reglas especiales de Control y sanciones</w:t>
      </w:r>
    </w:p>
    <w:p w:rsidR="00890A66" w:rsidRPr="008D17D2" w:rsidRDefault="00890A66" w:rsidP="00890A6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b/>
          <w:bCs/>
          <w:lang w:eastAsia="es-SV"/>
        </w:rPr>
      </w:pPr>
    </w:p>
    <w:p w:rsidR="00D360DB" w:rsidRPr="008D17D2" w:rsidRDefault="00D360DB" w:rsidP="00890A66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Artículo </w:t>
      </w:r>
      <w:r w:rsidR="00C53C05" w:rsidRPr="008D17D2">
        <w:rPr>
          <w:rFonts w:ascii="Century Gothic" w:eastAsia="Times New Roman" w:hAnsi="Century Gothic" w:cs="Arial"/>
          <w:b/>
          <w:bCs/>
          <w:lang w:eastAsia="es-SV"/>
        </w:rPr>
        <w:t>1</w:t>
      </w:r>
      <w:r w:rsidR="00A97918">
        <w:rPr>
          <w:rFonts w:ascii="Century Gothic" w:eastAsia="Times New Roman" w:hAnsi="Century Gothic" w:cs="Arial"/>
          <w:b/>
          <w:bCs/>
          <w:lang w:eastAsia="es-SV"/>
        </w:rPr>
        <w:t>4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>.</w:t>
      </w:r>
      <w:r w:rsidR="00890A66" w:rsidRPr="008D17D2">
        <w:rPr>
          <w:rFonts w:ascii="Century Gothic" w:eastAsia="Times New Roman" w:hAnsi="Century Gothic" w:cs="Arial"/>
          <w:b/>
          <w:bCs/>
          <w:lang w:eastAsia="es-SV"/>
        </w:rPr>
        <w:t>-</w:t>
      </w:r>
      <w:r w:rsidRPr="008D17D2">
        <w:rPr>
          <w:rFonts w:ascii="Century Gothic" w:eastAsia="Times New Roman" w:hAnsi="Century Gothic" w:cs="Arial"/>
          <w:b/>
          <w:bCs/>
          <w:lang w:eastAsia="es-SV"/>
        </w:rPr>
        <w:t xml:space="preserve">. </w:t>
      </w:r>
      <w:r w:rsidRPr="008D17D2">
        <w:rPr>
          <w:rFonts w:ascii="Century Gothic" w:eastAsia="Times New Roman" w:hAnsi="Century Gothic" w:cs="Arial"/>
          <w:lang w:eastAsia="es-SV"/>
        </w:rPr>
        <w:t xml:space="preserve">En relación con el impuesto  a que se refiere </w:t>
      </w:r>
      <w:r w:rsidR="00890A66" w:rsidRPr="008D17D2">
        <w:rPr>
          <w:rFonts w:ascii="Century Gothic" w:eastAsia="Times New Roman" w:hAnsi="Century Gothic" w:cs="Arial"/>
          <w:lang w:eastAsia="es-SV"/>
        </w:rPr>
        <w:t>esta ley</w:t>
      </w:r>
      <w:r w:rsidRPr="008D17D2">
        <w:rPr>
          <w:rFonts w:ascii="Century Gothic" w:eastAsia="Times New Roman" w:hAnsi="Century Gothic" w:cs="Arial"/>
          <w:lang w:eastAsia="es-SV"/>
        </w:rPr>
        <w:t xml:space="preserve">, la realización de ajustes contables y/o fiscales, que no correspondan a operaciones efectivas o reales y que impliquen la disminución del patrimonio </w:t>
      </w:r>
      <w:r w:rsidR="001B2CAD" w:rsidRPr="008D17D2">
        <w:rPr>
          <w:rFonts w:ascii="Century Gothic" w:eastAsia="Times New Roman" w:hAnsi="Century Gothic" w:cs="Arial"/>
          <w:lang w:eastAsia="es-SV"/>
        </w:rPr>
        <w:t xml:space="preserve">neto o </w:t>
      </w:r>
      <w:r w:rsidRPr="008D17D2">
        <w:rPr>
          <w:rFonts w:ascii="Century Gothic" w:eastAsia="Times New Roman" w:hAnsi="Century Gothic" w:cs="Arial"/>
          <w:lang w:eastAsia="es-SV"/>
        </w:rPr>
        <w:t>líquido, a través de omisión o subestimación de activos, reducción de valorizaciones</w:t>
      </w:r>
      <w:r w:rsidR="001B2CAD" w:rsidRPr="008D17D2">
        <w:rPr>
          <w:rFonts w:ascii="Century Gothic" w:eastAsia="Times New Roman" w:hAnsi="Century Gothic" w:cs="Arial"/>
          <w:lang w:eastAsia="es-SV"/>
        </w:rPr>
        <w:t>,</w:t>
      </w:r>
      <w:r w:rsidRPr="008D17D2">
        <w:rPr>
          <w:rFonts w:ascii="Century Gothic" w:eastAsia="Times New Roman" w:hAnsi="Century Gothic" w:cs="Arial"/>
          <w:lang w:eastAsia="es-SV"/>
        </w:rPr>
        <w:t xml:space="preserve"> de ajustes o de reajustes fiscales, la inclusión de pasivos inexistentes o de provisiones no autorizadas o sobreestimadas</w:t>
      </w:r>
      <w:r w:rsidR="001B2CAD" w:rsidRPr="008D17D2">
        <w:rPr>
          <w:rFonts w:ascii="Century Gothic" w:eastAsia="Times New Roman" w:hAnsi="Century Gothic" w:cs="Arial"/>
          <w:lang w:eastAsia="es-SV"/>
        </w:rPr>
        <w:t>,</w:t>
      </w:r>
      <w:r w:rsidRPr="008D17D2">
        <w:rPr>
          <w:rFonts w:ascii="Century Gothic" w:eastAsia="Times New Roman" w:hAnsi="Century Gothic" w:cs="Arial"/>
          <w:lang w:eastAsia="es-SV"/>
        </w:rPr>
        <w:t xml:space="preserve"> de los cuales </w:t>
      </w:r>
      <w:r w:rsidR="00890A66" w:rsidRPr="008D17D2">
        <w:rPr>
          <w:rFonts w:ascii="Century Gothic" w:eastAsia="Times New Roman" w:hAnsi="Century Gothic" w:cs="Arial"/>
          <w:lang w:eastAsia="es-SV"/>
        </w:rPr>
        <w:t>resulte el no pago del impuesto o un pago inferior del impue</w:t>
      </w:r>
      <w:r w:rsidRPr="008D17D2">
        <w:rPr>
          <w:rFonts w:ascii="Century Gothic" w:eastAsia="Times New Roman" w:hAnsi="Century Gothic" w:cs="Arial"/>
          <w:lang w:eastAsia="es-SV"/>
        </w:rPr>
        <w:t xml:space="preserve">sto </w:t>
      </w:r>
      <w:r w:rsidR="00890A66" w:rsidRPr="008D17D2">
        <w:rPr>
          <w:rFonts w:ascii="Century Gothic" w:eastAsia="Times New Roman" w:hAnsi="Century Gothic" w:cs="Arial"/>
          <w:lang w:eastAsia="es-SV"/>
        </w:rPr>
        <w:t xml:space="preserve">que legalmente correspondía </w:t>
      </w:r>
      <w:r w:rsidRPr="008D17D2">
        <w:rPr>
          <w:rFonts w:ascii="Century Gothic" w:eastAsia="Times New Roman" w:hAnsi="Century Gothic" w:cs="Arial"/>
          <w:lang w:eastAsia="es-SV"/>
        </w:rPr>
        <w:t>pagar</w:t>
      </w:r>
      <w:r w:rsidR="001B2CAD" w:rsidRPr="008D17D2">
        <w:rPr>
          <w:rFonts w:ascii="Century Gothic" w:eastAsia="Times New Roman" w:hAnsi="Century Gothic" w:cs="Arial"/>
          <w:lang w:eastAsia="es-SV"/>
        </w:rPr>
        <w:t xml:space="preserve">, será sancionado </w:t>
      </w:r>
      <w:r w:rsidR="00CA0F4B">
        <w:rPr>
          <w:rFonts w:ascii="Century Gothic" w:eastAsia="Times New Roman" w:hAnsi="Century Gothic" w:cs="Arial"/>
          <w:lang w:eastAsia="es-SV"/>
        </w:rPr>
        <w:t xml:space="preserve">con una </w:t>
      </w:r>
      <w:r w:rsidR="001B2CAD" w:rsidRPr="008D17D2">
        <w:rPr>
          <w:rFonts w:ascii="Century Gothic" w:eastAsia="Times New Roman" w:hAnsi="Century Gothic" w:cs="Arial"/>
          <w:lang w:eastAsia="es-SV"/>
        </w:rPr>
        <w:t xml:space="preserve">multa </w:t>
      </w:r>
      <w:r w:rsidR="00CA0F4B">
        <w:rPr>
          <w:rFonts w:ascii="Century Gothic" w:eastAsia="Times New Roman" w:hAnsi="Century Gothic" w:cs="Arial"/>
          <w:lang w:eastAsia="es-SV"/>
        </w:rPr>
        <w:t>del cincuenta por ciento (50%) del impuesto a pagar, sin que en ningún caso dicha multa pueda ser menor de nueve salarios mínimos mensuales</w:t>
      </w:r>
      <w:r w:rsidRPr="008D17D2">
        <w:rPr>
          <w:rFonts w:ascii="Century Gothic" w:eastAsia="Times New Roman" w:hAnsi="Century Gothic" w:cs="Arial"/>
          <w:lang w:eastAsia="es-SV"/>
        </w:rPr>
        <w:t>. Lo anterior sin perjuicio de las sanciones penales a que haya lugar.</w:t>
      </w:r>
    </w:p>
    <w:p w:rsidR="00681113" w:rsidRPr="008D17D2" w:rsidRDefault="00681113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E97FBC" w:rsidRPr="008D17D2" w:rsidRDefault="00E97FBC" w:rsidP="00D360DB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No deducción del impuesto</w:t>
      </w:r>
    </w:p>
    <w:p w:rsidR="00E97FBC" w:rsidRPr="008D17D2" w:rsidRDefault="00E97FBC" w:rsidP="00D360DB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E97FBC" w:rsidRPr="008D17D2" w:rsidRDefault="00E97FBC" w:rsidP="00E97FBC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eastAsia="Times New Roman" w:hAnsi="Century Gothic"/>
          <w:b/>
          <w:lang w:eastAsia="es-SV"/>
        </w:rPr>
        <w:t>Artículo 1</w:t>
      </w:r>
      <w:r w:rsidR="00A97918">
        <w:rPr>
          <w:rFonts w:ascii="Century Gothic" w:eastAsia="Times New Roman" w:hAnsi="Century Gothic"/>
          <w:b/>
          <w:lang w:eastAsia="es-SV"/>
        </w:rPr>
        <w:t>5</w:t>
      </w:r>
      <w:r w:rsidRPr="008D17D2">
        <w:rPr>
          <w:rFonts w:ascii="Century Gothic" w:eastAsia="Times New Roman" w:hAnsi="Century Gothic"/>
          <w:lang w:eastAsia="es-SV"/>
        </w:rPr>
        <w:t>.- En ningún caso el valor pagado en concepto del impuesto establecido en esta ley, ser</w:t>
      </w:r>
      <w:r w:rsidR="00521255" w:rsidRPr="008D17D2">
        <w:rPr>
          <w:rFonts w:ascii="Century Gothic" w:eastAsia="Times New Roman" w:hAnsi="Century Gothic"/>
          <w:lang w:eastAsia="es-SV"/>
        </w:rPr>
        <w:t xml:space="preserve">á </w:t>
      </w:r>
      <w:r w:rsidRPr="008D17D2">
        <w:rPr>
          <w:rFonts w:ascii="Century Gothic" w:eastAsia="Times New Roman" w:hAnsi="Century Gothic"/>
          <w:lang w:eastAsia="es-SV"/>
        </w:rPr>
        <w:t xml:space="preserve">deducible o acreditable del Impuesto sobre la Renta. </w:t>
      </w:r>
    </w:p>
    <w:p w:rsidR="00E97FBC" w:rsidRPr="008D17D2" w:rsidRDefault="00E97FBC" w:rsidP="00E97FBC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</w:p>
    <w:p w:rsidR="00E97FBC" w:rsidRPr="008D17D2" w:rsidRDefault="00E97FBC" w:rsidP="00E97FBC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eastAsia="Times New Roman" w:hAnsi="Century Gothic"/>
          <w:lang w:eastAsia="es-SV"/>
        </w:rPr>
        <w:t>Asimismo el impuesto causado, no podrá deducirse como pasivo para efectos del cálculo del propio impuesto.</w:t>
      </w:r>
    </w:p>
    <w:p w:rsidR="00091015" w:rsidRPr="008D17D2" w:rsidRDefault="00091015" w:rsidP="00091015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DF3E08" w:rsidRPr="008D17D2" w:rsidRDefault="00DF3E08" w:rsidP="00DF3E08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Destino de Recursos recaudados</w:t>
      </w:r>
    </w:p>
    <w:p w:rsidR="00DF3E08" w:rsidRPr="008D17D2" w:rsidRDefault="00DF3E08" w:rsidP="00DF3E08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DF3E08" w:rsidRPr="008D17D2" w:rsidRDefault="00091015" w:rsidP="00DF3E08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Artículo 1</w:t>
      </w:r>
      <w:r w:rsidR="00A97918">
        <w:rPr>
          <w:rFonts w:ascii="Century Gothic" w:eastAsia="Times New Roman" w:hAnsi="Century Gothic" w:cs="Arial"/>
          <w:b/>
          <w:lang w:eastAsia="es-SV"/>
        </w:rPr>
        <w:t>6</w:t>
      </w:r>
      <w:r w:rsidR="00DF3E08" w:rsidRPr="008D17D2">
        <w:rPr>
          <w:rFonts w:ascii="Century Gothic" w:eastAsia="Times New Roman" w:hAnsi="Century Gothic" w:cs="Arial"/>
          <w:lang w:eastAsia="es-SV"/>
        </w:rPr>
        <w:t xml:space="preserve">.- Créase dentro del Fondo General de la Nación, una cuenta denominada “CUENTA ESPECIAL PARA SEGURIDAD CIUDADANA”, cuyo monto será depositado en el Banco Central de Reserva de El Salvador, y se integrará con la recaudación </w:t>
      </w:r>
      <w:r w:rsidRPr="008D17D2">
        <w:rPr>
          <w:rFonts w:ascii="Century Gothic" w:eastAsia="Times New Roman" w:hAnsi="Century Gothic" w:cs="Arial"/>
          <w:lang w:eastAsia="es-SV"/>
        </w:rPr>
        <w:t xml:space="preserve">proveniente del presente </w:t>
      </w:r>
      <w:r w:rsidR="0009424B" w:rsidRPr="008D17D2">
        <w:rPr>
          <w:rFonts w:ascii="Century Gothic" w:eastAsia="Times New Roman" w:hAnsi="Century Gothic"/>
          <w:lang w:eastAsia="es-SV"/>
        </w:rPr>
        <w:t>impuesto</w:t>
      </w:r>
      <w:r w:rsidR="00DF3E08" w:rsidRPr="008D17D2">
        <w:rPr>
          <w:rFonts w:ascii="Century Gothic" w:eastAsia="Times New Roman" w:hAnsi="Century Gothic"/>
          <w:lang w:eastAsia="es-SV"/>
        </w:rPr>
        <w:t>.</w:t>
      </w:r>
    </w:p>
    <w:p w:rsidR="00DF3E08" w:rsidRPr="008D17D2" w:rsidRDefault="00DF3E08" w:rsidP="00DF3E08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</w:p>
    <w:p w:rsidR="00DF3E08" w:rsidRPr="008D17D2" w:rsidRDefault="00DF3E08" w:rsidP="00DF3E08">
      <w:pPr>
        <w:spacing w:after="0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hAnsi="Century Gothic" w:cs="Arial"/>
          <w:lang w:val="es-ES"/>
        </w:rPr>
        <w:t xml:space="preserve">La utilización de los recursos depositados en la cuenta a que se refiere el inciso anterior, será </w:t>
      </w:r>
      <w:r w:rsidR="0009424B" w:rsidRPr="008D17D2">
        <w:rPr>
          <w:rFonts w:ascii="Century Gothic" w:eastAsia="Times New Roman" w:hAnsi="Century Gothic"/>
          <w:lang w:eastAsia="es-SV"/>
        </w:rPr>
        <w:t>destinad</w:t>
      </w:r>
      <w:r w:rsidRPr="008D17D2">
        <w:rPr>
          <w:rFonts w:ascii="Century Gothic" w:eastAsia="Times New Roman" w:hAnsi="Century Gothic"/>
          <w:lang w:eastAsia="es-SV"/>
        </w:rPr>
        <w:t>a</w:t>
      </w:r>
      <w:r w:rsidR="0009424B" w:rsidRPr="008D17D2">
        <w:rPr>
          <w:rFonts w:ascii="Century Gothic" w:eastAsia="Times New Roman" w:hAnsi="Century Gothic"/>
          <w:lang w:eastAsia="es-SV"/>
        </w:rPr>
        <w:t xml:space="preserve"> </w:t>
      </w:r>
      <w:r w:rsidR="00091015" w:rsidRPr="008D17D2">
        <w:rPr>
          <w:rFonts w:ascii="Century Gothic" w:eastAsia="Times New Roman" w:hAnsi="Century Gothic"/>
          <w:lang w:eastAsia="es-SV"/>
        </w:rPr>
        <w:t xml:space="preserve">para sufragar la deuda </w:t>
      </w:r>
      <w:r w:rsidR="00750718" w:rsidRPr="008D17D2">
        <w:rPr>
          <w:rFonts w:ascii="Century Gothic" w:eastAsia="Times New Roman" w:hAnsi="Century Gothic"/>
          <w:lang w:eastAsia="es-SV"/>
        </w:rPr>
        <w:t xml:space="preserve">pública </w:t>
      </w:r>
      <w:r w:rsidR="00091015" w:rsidRPr="008D17D2">
        <w:rPr>
          <w:rFonts w:ascii="Century Gothic" w:eastAsia="Times New Roman" w:hAnsi="Century Gothic"/>
          <w:lang w:eastAsia="es-SV"/>
        </w:rPr>
        <w:t xml:space="preserve">incurrida para </w:t>
      </w:r>
      <w:r w:rsidR="009F042B" w:rsidRPr="008D17D2">
        <w:rPr>
          <w:rFonts w:ascii="Century Gothic" w:eastAsia="Times New Roman" w:hAnsi="Century Gothic"/>
          <w:lang w:eastAsia="es-SV"/>
        </w:rPr>
        <w:t xml:space="preserve">financiar </w:t>
      </w:r>
      <w:r w:rsidR="00750718" w:rsidRPr="008D17D2">
        <w:rPr>
          <w:rFonts w:ascii="Century Gothic" w:eastAsia="Times New Roman" w:hAnsi="Century Gothic"/>
          <w:lang w:eastAsia="es-SV"/>
        </w:rPr>
        <w:t xml:space="preserve">la </w:t>
      </w:r>
      <w:r w:rsidR="004B20B9">
        <w:rPr>
          <w:rFonts w:ascii="Century Gothic" w:eastAsia="Times New Roman" w:hAnsi="Century Gothic"/>
          <w:lang w:eastAsia="es-SV"/>
        </w:rPr>
        <w:t>s</w:t>
      </w:r>
      <w:r w:rsidR="00750718" w:rsidRPr="008D17D2">
        <w:rPr>
          <w:rFonts w:ascii="Century Gothic" w:eastAsia="Times New Roman" w:hAnsi="Century Gothic"/>
          <w:lang w:eastAsia="es-SV"/>
        </w:rPr>
        <w:t xml:space="preserve">eguridad </w:t>
      </w:r>
      <w:r w:rsidR="004B20B9">
        <w:rPr>
          <w:rFonts w:ascii="Century Gothic" w:eastAsia="Times New Roman" w:hAnsi="Century Gothic"/>
          <w:lang w:eastAsia="es-SV"/>
        </w:rPr>
        <w:t>c</w:t>
      </w:r>
      <w:r w:rsidR="00750718" w:rsidRPr="008D17D2">
        <w:rPr>
          <w:rFonts w:ascii="Century Gothic" w:eastAsia="Times New Roman" w:hAnsi="Century Gothic"/>
          <w:lang w:eastAsia="es-SV"/>
        </w:rPr>
        <w:t>iudadana</w:t>
      </w:r>
      <w:r w:rsidR="004B20B9">
        <w:rPr>
          <w:rFonts w:ascii="Century Gothic" w:eastAsia="Times New Roman" w:hAnsi="Century Gothic"/>
          <w:lang w:eastAsia="es-SV"/>
        </w:rPr>
        <w:t>.</w:t>
      </w:r>
    </w:p>
    <w:p w:rsidR="0009424B" w:rsidRPr="008D17D2" w:rsidRDefault="0009424B" w:rsidP="0028685C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28685C" w:rsidRPr="008D17D2" w:rsidRDefault="0028685C" w:rsidP="0028685C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Inoponibilidad de exenciones</w:t>
      </w:r>
    </w:p>
    <w:p w:rsidR="0028685C" w:rsidRPr="008D17D2" w:rsidRDefault="0028685C" w:rsidP="0028685C">
      <w:pPr>
        <w:spacing w:after="0" w:line="240" w:lineRule="auto"/>
        <w:jc w:val="both"/>
        <w:rPr>
          <w:rFonts w:ascii="Century Gothic" w:eastAsia="Times New Roman" w:hAnsi="Century Gothic" w:cs="Arial"/>
          <w:lang w:eastAsia="es-SV"/>
        </w:rPr>
      </w:pPr>
    </w:p>
    <w:p w:rsidR="00B0784F" w:rsidRPr="008D17D2" w:rsidRDefault="0028685C" w:rsidP="0028685C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t>Artículo 1</w:t>
      </w:r>
      <w:r w:rsidR="00A97918">
        <w:rPr>
          <w:rFonts w:ascii="Century Gothic" w:eastAsia="Times New Roman" w:hAnsi="Century Gothic" w:cs="Arial"/>
          <w:b/>
          <w:lang w:eastAsia="es-SV"/>
        </w:rPr>
        <w:t>7</w:t>
      </w:r>
      <w:r w:rsidRPr="008D17D2">
        <w:rPr>
          <w:rFonts w:ascii="Century Gothic" w:eastAsia="Times New Roman" w:hAnsi="Century Gothic" w:cs="Arial"/>
          <w:lang w:eastAsia="es-SV"/>
        </w:rPr>
        <w:t xml:space="preserve">.- </w:t>
      </w:r>
      <w:r w:rsidR="0077121D" w:rsidRPr="008D17D2">
        <w:rPr>
          <w:rFonts w:ascii="Century Gothic" w:eastAsia="Times New Roman" w:hAnsi="Century Gothic" w:cs="Arial"/>
          <w:lang w:eastAsia="es-SV"/>
        </w:rPr>
        <w:t xml:space="preserve">La presente ley es de </w:t>
      </w:r>
      <w:r w:rsidRPr="008D17D2">
        <w:rPr>
          <w:rFonts w:ascii="Century Gothic" w:eastAsia="Times New Roman" w:hAnsi="Century Gothic" w:cs="Arial"/>
          <w:lang w:eastAsia="es-SV"/>
        </w:rPr>
        <w:t>carácter especial</w:t>
      </w:r>
      <w:r w:rsidR="00D14AE6" w:rsidRPr="008D17D2">
        <w:rPr>
          <w:rFonts w:ascii="Century Gothic" w:eastAsia="Times New Roman" w:hAnsi="Century Gothic" w:cs="Arial"/>
          <w:lang w:eastAsia="es-SV"/>
        </w:rPr>
        <w:t>,</w:t>
      </w:r>
      <w:r w:rsidRPr="008D17D2">
        <w:rPr>
          <w:rFonts w:ascii="Century Gothic" w:eastAsia="Times New Roman" w:hAnsi="Century Gothic" w:cs="Arial"/>
          <w:lang w:eastAsia="es-SV"/>
        </w:rPr>
        <w:t xml:space="preserve"> </w:t>
      </w:r>
      <w:r w:rsidR="00B0784F" w:rsidRPr="008D17D2">
        <w:rPr>
          <w:rFonts w:ascii="Century Gothic" w:eastAsia="Times New Roman" w:hAnsi="Century Gothic" w:cs="Arial"/>
          <w:lang w:eastAsia="es-SV"/>
        </w:rPr>
        <w:t xml:space="preserve">en consecuencia </w:t>
      </w:r>
      <w:r w:rsidRPr="008D17D2">
        <w:rPr>
          <w:rFonts w:ascii="Century Gothic" w:eastAsia="Times New Roman" w:hAnsi="Century Gothic" w:cs="Arial"/>
          <w:lang w:eastAsia="es-SV"/>
        </w:rPr>
        <w:t xml:space="preserve">no son oponibles las exenciones establecidas </w:t>
      </w:r>
      <w:r w:rsidR="00D14AE6" w:rsidRPr="008D17D2">
        <w:rPr>
          <w:rFonts w:ascii="Century Gothic" w:eastAsia="Times New Roman" w:hAnsi="Century Gothic" w:cs="Arial"/>
          <w:lang w:eastAsia="es-SV"/>
        </w:rPr>
        <w:t>en leyes</w:t>
      </w:r>
      <w:r w:rsidR="00B0784F" w:rsidRPr="008D17D2">
        <w:rPr>
          <w:rFonts w:ascii="Century Gothic" w:eastAsia="Times New Roman" w:hAnsi="Century Gothic" w:cs="Arial"/>
          <w:lang w:eastAsia="es-SV"/>
        </w:rPr>
        <w:t xml:space="preserve"> emitidas con anterioridad a su vigencia. </w:t>
      </w:r>
    </w:p>
    <w:p w:rsidR="00B0784F" w:rsidRPr="008D17D2" w:rsidRDefault="00B0784F" w:rsidP="0028685C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</w:p>
    <w:p w:rsidR="0028685C" w:rsidRPr="008D17D2" w:rsidRDefault="00B0784F" w:rsidP="0028685C">
      <w:pPr>
        <w:spacing w:after="0" w:line="240" w:lineRule="auto"/>
        <w:ind w:firstLine="851"/>
        <w:jc w:val="both"/>
        <w:rPr>
          <w:rFonts w:ascii="Century Gothic" w:eastAsia="Times New Roman" w:hAnsi="Century Gothic" w:cs="Arial"/>
          <w:lang w:eastAsia="es-SV"/>
        </w:rPr>
      </w:pPr>
      <w:r w:rsidRPr="008D17D2">
        <w:rPr>
          <w:rFonts w:ascii="Century Gothic" w:eastAsia="Times New Roman" w:hAnsi="Century Gothic" w:cs="Arial"/>
          <w:lang w:eastAsia="es-SV"/>
        </w:rPr>
        <w:t>En las leyes emitidas con posterioridad a la vigencia de la presente ley, sólo serán admisibles aquellas exenciones</w:t>
      </w:r>
      <w:r w:rsidR="00D14AE6" w:rsidRPr="008D17D2">
        <w:rPr>
          <w:rFonts w:ascii="Century Gothic" w:eastAsia="Times New Roman" w:hAnsi="Century Gothic" w:cs="Arial"/>
          <w:lang w:eastAsia="es-SV"/>
        </w:rPr>
        <w:t xml:space="preserve">, </w:t>
      </w:r>
      <w:r w:rsidRPr="008D17D2">
        <w:rPr>
          <w:rFonts w:ascii="Century Gothic" w:eastAsia="Times New Roman" w:hAnsi="Century Gothic" w:cs="Arial"/>
          <w:lang w:eastAsia="es-SV"/>
        </w:rPr>
        <w:t>en las que</w:t>
      </w:r>
      <w:r w:rsidR="00D14AE6" w:rsidRPr="008D17D2">
        <w:rPr>
          <w:rFonts w:ascii="Century Gothic" w:eastAsia="Times New Roman" w:hAnsi="Century Gothic" w:cs="Arial"/>
          <w:lang w:eastAsia="es-SV"/>
        </w:rPr>
        <w:t xml:space="preserve"> haga mención específica </w:t>
      </w:r>
      <w:r w:rsidRPr="008D17D2">
        <w:rPr>
          <w:rFonts w:ascii="Century Gothic" w:eastAsia="Times New Roman" w:hAnsi="Century Gothic" w:cs="Arial"/>
          <w:lang w:eastAsia="es-SV"/>
        </w:rPr>
        <w:t xml:space="preserve">al </w:t>
      </w:r>
      <w:r w:rsidR="00D14AE6" w:rsidRPr="008D17D2">
        <w:rPr>
          <w:rFonts w:ascii="Century Gothic" w:eastAsia="Times New Roman" w:hAnsi="Century Gothic" w:cs="Arial"/>
          <w:lang w:eastAsia="es-SV"/>
        </w:rPr>
        <w:t>impuesto</w:t>
      </w:r>
      <w:r w:rsidR="00467715" w:rsidRPr="008D17D2">
        <w:rPr>
          <w:rFonts w:ascii="Century Gothic" w:eastAsia="Times New Roman" w:hAnsi="Century Gothic" w:cs="Arial"/>
          <w:lang w:eastAsia="es-SV"/>
        </w:rPr>
        <w:t>.</w:t>
      </w:r>
    </w:p>
    <w:p w:rsidR="0028685C" w:rsidRPr="008D17D2" w:rsidRDefault="0028685C" w:rsidP="00946A5D">
      <w:pPr>
        <w:spacing w:after="0" w:line="240" w:lineRule="auto"/>
        <w:jc w:val="both"/>
        <w:rPr>
          <w:rFonts w:ascii="Century Gothic" w:hAnsi="Century Gothic"/>
          <w:b/>
        </w:rPr>
      </w:pPr>
    </w:p>
    <w:p w:rsidR="00435B38" w:rsidRPr="008D17D2" w:rsidRDefault="00435B38" w:rsidP="00946A5D">
      <w:pPr>
        <w:spacing w:after="0" w:line="240" w:lineRule="auto"/>
        <w:jc w:val="both"/>
        <w:rPr>
          <w:rFonts w:ascii="Century Gothic" w:hAnsi="Century Gothic"/>
          <w:b/>
        </w:rPr>
      </w:pPr>
      <w:r w:rsidRPr="008D17D2">
        <w:rPr>
          <w:rFonts w:ascii="Century Gothic" w:hAnsi="Century Gothic"/>
          <w:b/>
        </w:rPr>
        <w:t>Vigencia</w:t>
      </w:r>
    </w:p>
    <w:p w:rsidR="00435B38" w:rsidRPr="008D17D2" w:rsidRDefault="00435B38" w:rsidP="0046523F">
      <w:pPr>
        <w:spacing w:before="100" w:beforeAutospacing="1" w:after="100" w:afterAutospacing="1" w:line="240" w:lineRule="auto"/>
        <w:ind w:firstLine="851"/>
        <w:jc w:val="both"/>
        <w:rPr>
          <w:rFonts w:ascii="Century Gothic" w:eastAsia="Times New Roman" w:hAnsi="Century Gothic"/>
          <w:lang w:eastAsia="es-SV"/>
        </w:rPr>
      </w:pPr>
      <w:r w:rsidRPr="008D17D2">
        <w:rPr>
          <w:rFonts w:ascii="Century Gothic" w:eastAsia="Times New Roman" w:hAnsi="Century Gothic" w:cs="Arial"/>
          <w:b/>
          <w:lang w:eastAsia="es-SV"/>
        </w:rPr>
        <w:lastRenderedPageBreak/>
        <w:t>Artículo 1</w:t>
      </w:r>
      <w:r w:rsidR="00A97918">
        <w:rPr>
          <w:rFonts w:ascii="Century Gothic" w:eastAsia="Times New Roman" w:hAnsi="Century Gothic" w:cs="Arial"/>
          <w:b/>
          <w:lang w:eastAsia="es-SV"/>
        </w:rPr>
        <w:t>8</w:t>
      </w:r>
      <w:r w:rsidRPr="008D17D2">
        <w:rPr>
          <w:rFonts w:ascii="Century Gothic" w:eastAsia="Times New Roman" w:hAnsi="Century Gothic" w:cs="Arial"/>
          <w:lang w:eastAsia="es-SV"/>
        </w:rPr>
        <w:t xml:space="preserve">.- El presente Decreto </w:t>
      </w:r>
      <w:r w:rsidR="00AC7030" w:rsidRPr="008D17D2">
        <w:rPr>
          <w:rFonts w:ascii="Century Gothic" w:eastAsia="Times New Roman" w:hAnsi="Century Gothic" w:cs="Arial"/>
          <w:lang w:eastAsia="es-SV"/>
        </w:rPr>
        <w:t>es de carácter transitorio</w:t>
      </w:r>
      <w:r w:rsidR="00553E91">
        <w:rPr>
          <w:rFonts w:ascii="Century Gothic" w:eastAsia="Times New Roman" w:hAnsi="Century Gothic" w:cs="Arial"/>
          <w:lang w:eastAsia="es-SV"/>
        </w:rPr>
        <w:t>, entrará e</w:t>
      </w:r>
      <w:r w:rsidR="00214502">
        <w:rPr>
          <w:rFonts w:ascii="Century Gothic" w:eastAsia="Times New Roman" w:hAnsi="Century Gothic" w:cs="Arial"/>
          <w:lang w:eastAsia="es-SV"/>
        </w:rPr>
        <w:t xml:space="preserve">n vigencia </w:t>
      </w:r>
      <w:r w:rsidR="001877F8">
        <w:rPr>
          <w:rFonts w:ascii="Century Gothic" w:eastAsia="Times New Roman" w:hAnsi="Century Gothic" w:cs="Arial"/>
          <w:lang w:eastAsia="es-SV"/>
        </w:rPr>
        <w:t xml:space="preserve">ocho días </w:t>
      </w:r>
      <w:r w:rsidR="00214502">
        <w:rPr>
          <w:rFonts w:ascii="Century Gothic" w:eastAsia="Times New Roman" w:hAnsi="Century Gothic" w:cs="Arial"/>
          <w:lang w:eastAsia="es-SV"/>
        </w:rPr>
        <w:t>des</w:t>
      </w:r>
      <w:r w:rsidR="001877F8">
        <w:rPr>
          <w:rFonts w:ascii="Century Gothic" w:eastAsia="Times New Roman" w:hAnsi="Century Gothic" w:cs="Arial"/>
          <w:lang w:eastAsia="es-SV"/>
        </w:rPr>
        <w:t xml:space="preserve">pués de su </w:t>
      </w:r>
      <w:r w:rsidR="00214502">
        <w:rPr>
          <w:rFonts w:ascii="Century Gothic" w:eastAsia="Times New Roman" w:hAnsi="Century Gothic" w:cs="Arial"/>
          <w:lang w:eastAsia="es-SV"/>
        </w:rPr>
        <w:t xml:space="preserve">publicación en el Diario Oficial, y estará vigente </w:t>
      </w:r>
      <w:r w:rsidR="00AC7030" w:rsidRPr="008D17D2">
        <w:rPr>
          <w:rFonts w:ascii="Century Gothic" w:eastAsia="Times New Roman" w:hAnsi="Century Gothic" w:cs="Arial"/>
          <w:lang w:eastAsia="es-SV"/>
        </w:rPr>
        <w:t xml:space="preserve">hasta </w:t>
      </w:r>
      <w:r w:rsidR="00AC7030" w:rsidRPr="007157D0">
        <w:rPr>
          <w:rFonts w:ascii="Century Gothic" w:eastAsia="Times New Roman" w:hAnsi="Century Gothic" w:cs="Arial"/>
          <w:color w:val="FF0000"/>
          <w:lang w:eastAsia="es-SV"/>
        </w:rPr>
        <w:t xml:space="preserve">el 1 de </w:t>
      </w:r>
      <w:r w:rsidR="00521255" w:rsidRPr="007157D0">
        <w:rPr>
          <w:rFonts w:ascii="Century Gothic" w:eastAsia="Times New Roman" w:hAnsi="Century Gothic" w:cs="Arial"/>
          <w:color w:val="FF0000"/>
          <w:lang w:eastAsia="es-SV"/>
        </w:rPr>
        <w:t>mayo d</w:t>
      </w:r>
      <w:r w:rsidR="00AC7030" w:rsidRPr="007157D0">
        <w:rPr>
          <w:rFonts w:ascii="Century Gothic" w:eastAsia="Times New Roman" w:hAnsi="Century Gothic" w:cs="Arial"/>
          <w:color w:val="FF0000"/>
          <w:lang w:eastAsia="es-SV"/>
        </w:rPr>
        <w:t>e 201</w:t>
      </w:r>
      <w:r w:rsidR="00176154">
        <w:rPr>
          <w:rFonts w:ascii="Century Gothic" w:eastAsia="Times New Roman" w:hAnsi="Century Gothic" w:cs="Arial"/>
          <w:color w:val="FF0000"/>
          <w:lang w:eastAsia="es-SV"/>
        </w:rPr>
        <w:t>5</w:t>
      </w:r>
      <w:r w:rsidRPr="007157D0">
        <w:rPr>
          <w:rFonts w:ascii="Century Gothic" w:eastAsia="Times New Roman" w:hAnsi="Century Gothic" w:cs="Arial"/>
          <w:color w:val="FF0000"/>
          <w:lang w:eastAsia="es-SV"/>
        </w:rPr>
        <w:t>.</w:t>
      </w:r>
      <w:r w:rsidRPr="008D17D2">
        <w:rPr>
          <w:rFonts w:ascii="Century Gothic" w:eastAsia="Times New Roman" w:hAnsi="Century Gothic"/>
          <w:lang w:eastAsia="es-SV"/>
        </w:rPr>
        <w:t xml:space="preserve"> </w:t>
      </w:r>
      <w:r w:rsidR="00553E91" w:rsidRPr="00553E91">
        <w:rPr>
          <w:rFonts w:ascii="Century Gothic" w:eastAsia="Times New Roman" w:hAnsi="Century Gothic"/>
          <w:b/>
          <w:color w:val="1F497D"/>
          <w:lang w:eastAsia="es-SV"/>
        </w:rPr>
        <w:t>(se recomienda que entre en vigencia el día de su publicación en el Diario Oficial).</w:t>
      </w:r>
    </w:p>
    <w:p w:rsidR="00946A5D" w:rsidRPr="008D17D2" w:rsidRDefault="00946A5D" w:rsidP="005F5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 Gothic" w:hAnsi="Century Gothic" w:cs="Arial"/>
          <w:lang w:eastAsia="es-SV"/>
        </w:rPr>
      </w:pPr>
      <w:r w:rsidRPr="008D17D2">
        <w:rPr>
          <w:rFonts w:ascii="Century Gothic" w:hAnsi="Century Gothic" w:cs="Arial"/>
          <w:lang w:eastAsia="es-SV"/>
        </w:rPr>
        <w:t>Los incumplimientos a lo establecido en la presente ley durante su vigencia, serán determinados y sancionados dentro del periodo de la caducidad regulada en el Código Tributario.</w:t>
      </w:r>
    </w:p>
    <w:p w:rsidR="00946A5D" w:rsidRPr="008D17D2" w:rsidRDefault="00946A5D" w:rsidP="005F5B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 Gothic" w:hAnsi="Century Gothic" w:cs="Arial"/>
          <w:lang w:eastAsia="es-SV"/>
        </w:rPr>
      </w:pPr>
    </w:p>
    <w:p w:rsidR="00435B38" w:rsidRPr="008D17D2" w:rsidRDefault="00435B38" w:rsidP="00435B38">
      <w:pPr>
        <w:ind w:firstLine="851"/>
        <w:jc w:val="both"/>
        <w:rPr>
          <w:rFonts w:ascii="Century Gothic" w:hAnsi="Century Gothic"/>
        </w:rPr>
      </w:pPr>
      <w:r w:rsidRPr="008D17D2">
        <w:rPr>
          <w:rFonts w:ascii="Century Gothic" w:eastAsia="Times New Roman" w:hAnsi="Century Gothic" w:cs="Arial"/>
          <w:lang w:eastAsia="es-SV"/>
        </w:rPr>
        <w:t>DADO EN EL SAL</w:t>
      </w:r>
      <w:r w:rsidR="00946A5D" w:rsidRPr="008D17D2">
        <w:rPr>
          <w:rFonts w:ascii="Century Gothic" w:eastAsia="Times New Roman" w:hAnsi="Century Gothic" w:cs="Arial"/>
          <w:lang w:eastAsia="es-SV"/>
        </w:rPr>
        <w:t>Ó</w:t>
      </w:r>
      <w:r w:rsidRPr="008D17D2">
        <w:rPr>
          <w:rFonts w:ascii="Century Gothic" w:eastAsia="Times New Roman" w:hAnsi="Century Gothic" w:cs="Arial"/>
          <w:lang w:eastAsia="es-SV"/>
        </w:rPr>
        <w:t>N AZUL DE LA ASAMBLEA LEGISLATIVA; San Salvador, a los _______ días del mes de ____________________ de dos mil ____.</w:t>
      </w:r>
    </w:p>
    <w:sectPr w:rsidR="00435B38" w:rsidRPr="008D17D2" w:rsidSect="00376F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0D" w:rsidRDefault="00EA580D" w:rsidP="00B00095">
      <w:pPr>
        <w:spacing w:after="0" w:line="240" w:lineRule="auto"/>
      </w:pPr>
      <w:r>
        <w:separator/>
      </w:r>
    </w:p>
  </w:endnote>
  <w:endnote w:type="continuationSeparator" w:id="0">
    <w:p w:rsidR="00EA580D" w:rsidRDefault="00EA580D" w:rsidP="00B0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0D" w:rsidRDefault="00EA580D" w:rsidP="00B00095">
      <w:pPr>
        <w:spacing w:after="0" w:line="240" w:lineRule="auto"/>
      </w:pPr>
      <w:r>
        <w:separator/>
      </w:r>
    </w:p>
  </w:footnote>
  <w:footnote w:type="continuationSeparator" w:id="0">
    <w:p w:rsidR="00EA580D" w:rsidRDefault="00EA580D" w:rsidP="00B0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95" w:rsidRPr="00B00095" w:rsidRDefault="00B00095" w:rsidP="00B00095">
    <w:pPr>
      <w:pStyle w:val="Encabezado"/>
      <w:jc w:val="right"/>
      <w:rPr>
        <w:b/>
        <w:sz w:val="18"/>
        <w:szCs w:val="18"/>
      </w:rPr>
    </w:pPr>
    <w:r w:rsidRPr="00B00095">
      <w:rPr>
        <w:b/>
        <w:sz w:val="18"/>
        <w:szCs w:val="18"/>
      </w:rPr>
      <w:t>Borrador de Anteproyecto de Ley de Impuesto Extraordinario</w:t>
    </w:r>
    <w:r w:rsidR="00ED27D1">
      <w:rPr>
        <w:b/>
        <w:sz w:val="18"/>
        <w:szCs w:val="18"/>
      </w:rPr>
      <w:t xml:space="preserve"> para la Seguridad Ciudadana  </w:t>
    </w:r>
    <w:r w:rsidR="005A4689">
      <w:rPr>
        <w:b/>
        <w:sz w:val="18"/>
        <w:szCs w:val="18"/>
        <w:lang w:val="es-SV"/>
      </w:rPr>
      <w:t>1</w:t>
    </w:r>
    <w:r w:rsidR="00072B9E">
      <w:rPr>
        <w:b/>
        <w:sz w:val="18"/>
        <w:szCs w:val="18"/>
        <w:lang w:val="es-SV"/>
      </w:rPr>
      <w:t>7</w:t>
    </w:r>
    <w:r w:rsidRPr="00B00095">
      <w:rPr>
        <w:b/>
        <w:sz w:val="18"/>
        <w:szCs w:val="18"/>
      </w:rPr>
      <w:t>-0</w:t>
    </w:r>
    <w:r w:rsidR="00072B9E">
      <w:rPr>
        <w:b/>
        <w:sz w:val="18"/>
        <w:szCs w:val="18"/>
        <w:lang w:val="es-SV"/>
      </w:rPr>
      <w:t>5</w:t>
    </w:r>
    <w:r w:rsidRPr="00B00095">
      <w:rPr>
        <w:b/>
        <w:sz w:val="18"/>
        <w:szCs w:val="18"/>
      </w:rPr>
      <w:t>-2011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ian.gov.co/icons/ecblank.gif" style="width:12.45pt;height:.65pt;visibility:visible" o:bullet="t">
        <v:imagedata r:id="rId1" o:title="ecblank"/>
      </v:shape>
    </w:pict>
  </w:numPicBullet>
  <w:abstractNum w:abstractNumId="0">
    <w:nsid w:val="FFFFFF1D"/>
    <w:multiLevelType w:val="multilevel"/>
    <w:tmpl w:val="B2CA6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F2214"/>
    <w:multiLevelType w:val="hybridMultilevel"/>
    <w:tmpl w:val="2230E400"/>
    <w:lvl w:ilvl="0" w:tplc="4814B7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FB9"/>
    <w:multiLevelType w:val="hybridMultilevel"/>
    <w:tmpl w:val="CC00BF6A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110B9C"/>
    <w:multiLevelType w:val="hybridMultilevel"/>
    <w:tmpl w:val="906C00BC"/>
    <w:lvl w:ilvl="0" w:tplc="255C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85BDF"/>
    <w:multiLevelType w:val="hybridMultilevel"/>
    <w:tmpl w:val="7F14908E"/>
    <w:lvl w:ilvl="0" w:tplc="FA6C84CC">
      <w:start w:val="5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67F9"/>
    <w:multiLevelType w:val="hybridMultilevel"/>
    <w:tmpl w:val="6D969944"/>
    <w:lvl w:ilvl="0" w:tplc="797ADA6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342F"/>
    <w:multiLevelType w:val="hybridMultilevel"/>
    <w:tmpl w:val="E31C597E"/>
    <w:lvl w:ilvl="0" w:tplc="4D0C2880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F7563"/>
    <w:multiLevelType w:val="hybridMultilevel"/>
    <w:tmpl w:val="63C4B54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7A1B"/>
    <w:multiLevelType w:val="hybridMultilevel"/>
    <w:tmpl w:val="6D66828A"/>
    <w:lvl w:ilvl="0" w:tplc="2500FCEC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3A2E3968"/>
    <w:multiLevelType w:val="hybridMultilevel"/>
    <w:tmpl w:val="20B8A814"/>
    <w:lvl w:ilvl="0" w:tplc="E9FE37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trike w:val="0"/>
        <w:dstrike w:val="0"/>
        <w:color w:val="auto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E65A2"/>
    <w:multiLevelType w:val="hybridMultilevel"/>
    <w:tmpl w:val="F606EED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56345"/>
    <w:multiLevelType w:val="hybridMultilevel"/>
    <w:tmpl w:val="C42EB7C8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7">
      <w:start w:val="1"/>
      <w:numFmt w:val="lowerLetter"/>
      <w:lvlText w:val="%2)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FC5578"/>
    <w:multiLevelType w:val="hybridMultilevel"/>
    <w:tmpl w:val="8EACC294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743D57"/>
    <w:multiLevelType w:val="hybridMultilevel"/>
    <w:tmpl w:val="1E4CAA98"/>
    <w:lvl w:ilvl="0" w:tplc="69A8DF4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2500FCEC">
      <w:start w:val="1"/>
      <w:numFmt w:val="lowerRoman"/>
      <w:lvlText w:val="%2."/>
      <w:lvlJc w:val="left"/>
      <w:pPr>
        <w:ind w:left="2291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C67BD7"/>
    <w:multiLevelType w:val="hybridMultilevel"/>
    <w:tmpl w:val="95CC470E"/>
    <w:lvl w:ilvl="0" w:tplc="4814B7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77D2"/>
    <w:multiLevelType w:val="hybridMultilevel"/>
    <w:tmpl w:val="699ABD0E"/>
    <w:lvl w:ilvl="0" w:tplc="44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7342B"/>
    <w:multiLevelType w:val="hybridMultilevel"/>
    <w:tmpl w:val="290E5012"/>
    <w:lvl w:ilvl="0" w:tplc="E9FE37C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trike w:val="0"/>
        <w:dstrike w:val="0"/>
        <w:color w:val="auto"/>
        <w:sz w:val="22"/>
        <w:u w:val="none"/>
      </w:r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0F">
      <w:start w:val="1"/>
      <w:numFmt w:val="decimal"/>
      <w:lvlText w:val="%3."/>
      <w:lvlJc w:val="lef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276"/>
    <w:multiLevelType w:val="hybridMultilevel"/>
    <w:tmpl w:val="20AE3634"/>
    <w:lvl w:ilvl="0" w:tplc="65C242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411C92"/>
    <w:multiLevelType w:val="hybridMultilevel"/>
    <w:tmpl w:val="8BFCA8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95260"/>
    <w:multiLevelType w:val="hybridMultilevel"/>
    <w:tmpl w:val="28BE819A"/>
    <w:lvl w:ilvl="0" w:tplc="2500FCEC">
      <w:start w:val="1"/>
      <w:numFmt w:val="lowerRoman"/>
      <w:lvlText w:val="%1."/>
      <w:lvlJc w:val="left"/>
      <w:pPr>
        <w:ind w:left="193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1" w:hanging="360"/>
      </w:pPr>
    </w:lvl>
    <w:lvl w:ilvl="2" w:tplc="440A001B" w:tentative="1">
      <w:start w:val="1"/>
      <w:numFmt w:val="lowerRoman"/>
      <w:lvlText w:val="%3."/>
      <w:lvlJc w:val="right"/>
      <w:pPr>
        <w:ind w:left="3371" w:hanging="180"/>
      </w:pPr>
    </w:lvl>
    <w:lvl w:ilvl="3" w:tplc="440A000F" w:tentative="1">
      <w:start w:val="1"/>
      <w:numFmt w:val="decimal"/>
      <w:lvlText w:val="%4."/>
      <w:lvlJc w:val="left"/>
      <w:pPr>
        <w:ind w:left="4091" w:hanging="360"/>
      </w:pPr>
    </w:lvl>
    <w:lvl w:ilvl="4" w:tplc="440A0019" w:tentative="1">
      <w:start w:val="1"/>
      <w:numFmt w:val="lowerLetter"/>
      <w:lvlText w:val="%5."/>
      <w:lvlJc w:val="left"/>
      <w:pPr>
        <w:ind w:left="4811" w:hanging="360"/>
      </w:pPr>
    </w:lvl>
    <w:lvl w:ilvl="5" w:tplc="440A001B" w:tentative="1">
      <w:start w:val="1"/>
      <w:numFmt w:val="lowerRoman"/>
      <w:lvlText w:val="%6."/>
      <w:lvlJc w:val="right"/>
      <w:pPr>
        <w:ind w:left="5531" w:hanging="180"/>
      </w:pPr>
    </w:lvl>
    <w:lvl w:ilvl="6" w:tplc="440A000F" w:tentative="1">
      <w:start w:val="1"/>
      <w:numFmt w:val="decimal"/>
      <w:lvlText w:val="%7."/>
      <w:lvlJc w:val="left"/>
      <w:pPr>
        <w:ind w:left="6251" w:hanging="360"/>
      </w:pPr>
    </w:lvl>
    <w:lvl w:ilvl="7" w:tplc="440A0019" w:tentative="1">
      <w:start w:val="1"/>
      <w:numFmt w:val="lowerLetter"/>
      <w:lvlText w:val="%8."/>
      <w:lvlJc w:val="left"/>
      <w:pPr>
        <w:ind w:left="6971" w:hanging="360"/>
      </w:pPr>
    </w:lvl>
    <w:lvl w:ilvl="8" w:tplc="4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47C2C54"/>
    <w:multiLevelType w:val="hybridMultilevel"/>
    <w:tmpl w:val="3B5826B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0D20"/>
    <w:multiLevelType w:val="hybridMultilevel"/>
    <w:tmpl w:val="4A60A5F0"/>
    <w:lvl w:ilvl="0" w:tplc="E9FE37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strike w:val="0"/>
        <w:dstrike w:val="0"/>
        <w:color w:val="auto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08037E2"/>
    <w:multiLevelType w:val="hybridMultilevel"/>
    <w:tmpl w:val="C9F67B3E"/>
    <w:lvl w:ilvl="0" w:tplc="EA2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07C51"/>
    <w:multiLevelType w:val="hybridMultilevel"/>
    <w:tmpl w:val="095ED206"/>
    <w:lvl w:ilvl="0" w:tplc="4814B7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A64AA"/>
    <w:multiLevelType w:val="hybridMultilevel"/>
    <w:tmpl w:val="3D02E168"/>
    <w:lvl w:ilvl="0" w:tplc="E9FE37C2">
      <w:start w:val="1"/>
      <w:numFmt w:val="lowerLetter"/>
      <w:lvlText w:val="%1)"/>
      <w:lvlJc w:val="left"/>
      <w:pPr>
        <w:ind w:left="1571" w:hanging="360"/>
      </w:pPr>
      <w:rPr>
        <w:rFonts w:ascii="Century Gothic" w:hAnsi="Century Gothic" w:hint="default"/>
        <w:strike w:val="0"/>
        <w:dstrike w:val="0"/>
        <w:color w:val="auto"/>
        <w:sz w:val="22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DEC1C03"/>
    <w:multiLevelType w:val="hybridMultilevel"/>
    <w:tmpl w:val="361AD62E"/>
    <w:lvl w:ilvl="0" w:tplc="11DC69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22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6"/>
  </w:num>
  <w:num w:numId="18">
    <w:abstractNumId w:val="25"/>
  </w:num>
  <w:num w:numId="19">
    <w:abstractNumId w:val="24"/>
  </w:num>
  <w:num w:numId="20">
    <w:abstractNumId w:val="15"/>
  </w:num>
  <w:num w:numId="21">
    <w:abstractNumId w:val="8"/>
  </w:num>
  <w:num w:numId="22">
    <w:abstractNumId w:val="2"/>
  </w:num>
  <w:num w:numId="23">
    <w:abstractNumId w:val="17"/>
  </w:num>
  <w:num w:numId="24">
    <w:abstractNumId w:val="10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0DB"/>
    <w:rsid w:val="00004273"/>
    <w:rsid w:val="00006915"/>
    <w:rsid w:val="00013A32"/>
    <w:rsid w:val="00016CE1"/>
    <w:rsid w:val="00031D7F"/>
    <w:rsid w:val="000364C3"/>
    <w:rsid w:val="000371AF"/>
    <w:rsid w:val="00053F05"/>
    <w:rsid w:val="00057152"/>
    <w:rsid w:val="00070621"/>
    <w:rsid w:val="0007251E"/>
    <w:rsid w:val="00072B9E"/>
    <w:rsid w:val="00072CE3"/>
    <w:rsid w:val="00085BCE"/>
    <w:rsid w:val="00086084"/>
    <w:rsid w:val="00091015"/>
    <w:rsid w:val="0009424B"/>
    <w:rsid w:val="000A3EB4"/>
    <w:rsid w:val="000B26DE"/>
    <w:rsid w:val="000C11FC"/>
    <w:rsid w:val="000C39A4"/>
    <w:rsid w:val="000D52DB"/>
    <w:rsid w:val="000D788C"/>
    <w:rsid w:val="000E3AC2"/>
    <w:rsid w:val="000F15B3"/>
    <w:rsid w:val="000F7B75"/>
    <w:rsid w:val="00100DA8"/>
    <w:rsid w:val="001043B9"/>
    <w:rsid w:val="001135EA"/>
    <w:rsid w:val="00126687"/>
    <w:rsid w:val="00127D33"/>
    <w:rsid w:val="00136586"/>
    <w:rsid w:val="00150F7F"/>
    <w:rsid w:val="00152DA8"/>
    <w:rsid w:val="00156A27"/>
    <w:rsid w:val="00172338"/>
    <w:rsid w:val="00173E7B"/>
    <w:rsid w:val="00176154"/>
    <w:rsid w:val="001877F8"/>
    <w:rsid w:val="00191508"/>
    <w:rsid w:val="00196D7B"/>
    <w:rsid w:val="001975A6"/>
    <w:rsid w:val="001A1E8B"/>
    <w:rsid w:val="001A36DF"/>
    <w:rsid w:val="001A5176"/>
    <w:rsid w:val="001A5DC3"/>
    <w:rsid w:val="001B1BB2"/>
    <w:rsid w:val="001B2CAD"/>
    <w:rsid w:val="001B3D94"/>
    <w:rsid w:val="001B712F"/>
    <w:rsid w:val="001D5325"/>
    <w:rsid w:val="001F437C"/>
    <w:rsid w:val="002013C1"/>
    <w:rsid w:val="0021339A"/>
    <w:rsid w:val="00214502"/>
    <w:rsid w:val="00225B9C"/>
    <w:rsid w:val="002262B2"/>
    <w:rsid w:val="00252462"/>
    <w:rsid w:val="0025398E"/>
    <w:rsid w:val="00255B14"/>
    <w:rsid w:val="002621D1"/>
    <w:rsid w:val="00276827"/>
    <w:rsid w:val="002777E7"/>
    <w:rsid w:val="0028200C"/>
    <w:rsid w:val="0028362D"/>
    <w:rsid w:val="0028685C"/>
    <w:rsid w:val="002871D1"/>
    <w:rsid w:val="00291772"/>
    <w:rsid w:val="00292C0D"/>
    <w:rsid w:val="0029435F"/>
    <w:rsid w:val="002953A0"/>
    <w:rsid w:val="002A2F8A"/>
    <w:rsid w:val="002A52C6"/>
    <w:rsid w:val="002A5F20"/>
    <w:rsid w:val="002B2384"/>
    <w:rsid w:val="002C597B"/>
    <w:rsid w:val="002C67F6"/>
    <w:rsid w:val="002C7169"/>
    <w:rsid w:val="002D5CF3"/>
    <w:rsid w:val="002E294F"/>
    <w:rsid w:val="003013C1"/>
    <w:rsid w:val="003124C2"/>
    <w:rsid w:val="00313220"/>
    <w:rsid w:val="0031331C"/>
    <w:rsid w:val="00325FB0"/>
    <w:rsid w:val="00346C6B"/>
    <w:rsid w:val="00350D6C"/>
    <w:rsid w:val="00351BDC"/>
    <w:rsid w:val="003541C9"/>
    <w:rsid w:val="00366867"/>
    <w:rsid w:val="00367787"/>
    <w:rsid w:val="00375EAE"/>
    <w:rsid w:val="00376F0A"/>
    <w:rsid w:val="0037716D"/>
    <w:rsid w:val="00377376"/>
    <w:rsid w:val="0038045B"/>
    <w:rsid w:val="00380776"/>
    <w:rsid w:val="00390C67"/>
    <w:rsid w:val="0039258C"/>
    <w:rsid w:val="0039305F"/>
    <w:rsid w:val="00394FBF"/>
    <w:rsid w:val="00397802"/>
    <w:rsid w:val="003A7FCB"/>
    <w:rsid w:val="003C50A7"/>
    <w:rsid w:val="003C765F"/>
    <w:rsid w:val="003D1BEB"/>
    <w:rsid w:val="003D3B75"/>
    <w:rsid w:val="003E1B99"/>
    <w:rsid w:val="003E3080"/>
    <w:rsid w:val="003E4B23"/>
    <w:rsid w:val="00401110"/>
    <w:rsid w:val="0041240D"/>
    <w:rsid w:val="00414773"/>
    <w:rsid w:val="00420BBB"/>
    <w:rsid w:val="00435B38"/>
    <w:rsid w:val="00453A3E"/>
    <w:rsid w:val="004573F5"/>
    <w:rsid w:val="004616B8"/>
    <w:rsid w:val="0046523F"/>
    <w:rsid w:val="00467715"/>
    <w:rsid w:val="0047567B"/>
    <w:rsid w:val="004821D4"/>
    <w:rsid w:val="00482A89"/>
    <w:rsid w:val="00482A8D"/>
    <w:rsid w:val="00490DAD"/>
    <w:rsid w:val="00497AF5"/>
    <w:rsid w:val="004A046B"/>
    <w:rsid w:val="004A1578"/>
    <w:rsid w:val="004A5ED5"/>
    <w:rsid w:val="004B00C7"/>
    <w:rsid w:val="004B20B9"/>
    <w:rsid w:val="004B2E5E"/>
    <w:rsid w:val="004B3BAC"/>
    <w:rsid w:val="004C0A9D"/>
    <w:rsid w:val="004D01B2"/>
    <w:rsid w:val="004D531A"/>
    <w:rsid w:val="004F6130"/>
    <w:rsid w:val="00511285"/>
    <w:rsid w:val="00520141"/>
    <w:rsid w:val="005205DC"/>
    <w:rsid w:val="00521255"/>
    <w:rsid w:val="005212E0"/>
    <w:rsid w:val="00535860"/>
    <w:rsid w:val="00536277"/>
    <w:rsid w:val="005438E3"/>
    <w:rsid w:val="00545CF8"/>
    <w:rsid w:val="00546E28"/>
    <w:rsid w:val="00553E91"/>
    <w:rsid w:val="005558A3"/>
    <w:rsid w:val="00556F69"/>
    <w:rsid w:val="00563C05"/>
    <w:rsid w:val="00565BB7"/>
    <w:rsid w:val="00567AED"/>
    <w:rsid w:val="00571F8E"/>
    <w:rsid w:val="00576354"/>
    <w:rsid w:val="00586BAE"/>
    <w:rsid w:val="00587BB6"/>
    <w:rsid w:val="005A039F"/>
    <w:rsid w:val="005A4689"/>
    <w:rsid w:val="005B0A5B"/>
    <w:rsid w:val="005E143F"/>
    <w:rsid w:val="005E46E5"/>
    <w:rsid w:val="005E4A7C"/>
    <w:rsid w:val="005E4F35"/>
    <w:rsid w:val="005F18D4"/>
    <w:rsid w:val="005F1A82"/>
    <w:rsid w:val="005F5B7A"/>
    <w:rsid w:val="005F6E8E"/>
    <w:rsid w:val="00607093"/>
    <w:rsid w:val="00613F21"/>
    <w:rsid w:val="0061566F"/>
    <w:rsid w:val="0062373D"/>
    <w:rsid w:val="006316C7"/>
    <w:rsid w:val="00634E55"/>
    <w:rsid w:val="0063696A"/>
    <w:rsid w:val="006460BC"/>
    <w:rsid w:val="00647F85"/>
    <w:rsid w:val="00652109"/>
    <w:rsid w:val="0065790E"/>
    <w:rsid w:val="00681113"/>
    <w:rsid w:val="00681B59"/>
    <w:rsid w:val="00686A65"/>
    <w:rsid w:val="0069181A"/>
    <w:rsid w:val="006A4606"/>
    <w:rsid w:val="006D2484"/>
    <w:rsid w:val="006D42A2"/>
    <w:rsid w:val="006D7445"/>
    <w:rsid w:val="006F1A4E"/>
    <w:rsid w:val="006F6C74"/>
    <w:rsid w:val="00706A7C"/>
    <w:rsid w:val="00706E80"/>
    <w:rsid w:val="0071340C"/>
    <w:rsid w:val="007157D0"/>
    <w:rsid w:val="00716923"/>
    <w:rsid w:val="0072385D"/>
    <w:rsid w:val="00727356"/>
    <w:rsid w:val="007403F2"/>
    <w:rsid w:val="007451D0"/>
    <w:rsid w:val="007470DD"/>
    <w:rsid w:val="00750718"/>
    <w:rsid w:val="00755686"/>
    <w:rsid w:val="00761A68"/>
    <w:rsid w:val="0076370A"/>
    <w:rsid w:val="00764060"/>
    <w:rsid w:val="00764AD3"/>
    <w:rsid w:val="0077121D"/>
    <w:rsid w:val="00771BC7"/>
    <w:rsid w:val="007821CA"/>
    <w:rsid w:val="00782870"/>
    <w:rsid w:val="00793170"/>
    <w:rsid w:val="00796F1A"/>
    <w:rsid w:val="007A28E4"/>
    <w:rsid w:val="007A6A6E"/>
    <w:rsid w:val="007B47EA"/>
    <w:rsid w:val="007B5B3A"/>
    <w:rsid w:val="007B73A7"/>
    <w:rsid w:val="007C6657"/>
    <w:rsid w:val="007C68A2"/>
    <w:rsid w:val="007C7F53"/>
    <w:rsid w:val="007D3B5A"/>
    <w:rsid w:val="007D3F4D"/>
    <w:rsid w:val="007D560E"/>
    <w:rsid w:val="007D5A6D"/>
    <w:rsid w:val="007F13A0"/>
    <w:rsid w:val="008150DE"/>
    <w:rsid w:val="00815CBA"/>
    <w:rsid w:val="00835C67"/>
    <w:rsid w:val="00841AA4"/>
    <w:rsid w:val="0086325A"/>
    <w:rsid w:val="008635C0"/>
    <w:rsid w:val="00866625"/>
    <w:rsid w:val="008732FF"/>
    <w:rsid w:val="00876CE1"/>
    <w:rsid w:val="00890A66"/>
    <w:rsid w:val="008A0CC2"/>
    <w:rsid w:val="008A121C"/>
    <w:rsid w:val="008B040B"/>
    <w:rsid w:val="008B2BF8"/>
    <w:rsid w:val="008B71D5"/>
    <w:rsid w:val="008D17D2"/>
    <w:rsid w:val="008D4017"/>
    <w:rsid w:val="008D65A7"/>
    <w:rsid w:val="008F71C2"/>
    <w:rsid w:val="008F75EB"/>
    <w:rsid w:val="00901BFD"/>
    <w:rsid w:val="009052DA"/>
    <w:rsid w:val="009057BB"/>
    <w:rsid w:val="00924D7D"/>
    <w:rsid w:val="00926C6F"/>
    <w:rsid w:val="00930D75"/>
    <w:rsid w:val="0093617B"/>
    <w:rsid w:val="00937CF2"/>
    <w:rsid w:val="00946A5D"/>
    <w:rsid w:val="0095417A"/>
    <w:rsid w:val="00960F29"/>
    <w:rsid w:val="00971DC2"/>
    <w:rsid w:val="0099224B"/>
    <w:rsid w:val="009A63E5"/>
    <w:rsid w:val="009C35A6"/>
    <w:rsid w:val="009E2103"/>
    <w:rsid w:val="009F042B"/>
    <w:rsid w:val="00A0400B"/>
    <w:rsid w:val="00A04B1A"/>
    <w:rsid w:val="00A179D3"/>
    <w:rsid w:val="00A2034A"/>
    <w:rsid w:val="00A23064"/>
    <w:rsid w:val="00A27DB5"/>
    <w:rsid w:val="00A37278"/>
    <w:rsid w:val="00A40CA5"/>
    <w:rsid w:val="00A44C62"/>
    <w:rsid w:val="00A626A7"/>
    <w:rsid w:val="00A64872"/>
    <w:rsid w:val="00A664DE"/>
    <w:rsid w:val="00A66BD3"/>
    <w:rsid w:val="00A75880"/>
    <w:rsid w:val="00A82FF4"/>
    <w:rsid w:val="00A840AC"/>
    <w:rsid w:val="00A90864"/>
    <w:rsid w:val="00A91943"/>
    <w:rsid w:val="00A950CA"/>
    <w:rsid w:val="00A96712"/>
    <w:rsid w:val="00A97918"/>
    <w:rsid w:val="00AA77EC"/>
    <w:rsid w:val="00AB3D4F"/>
    <w:rsid w:val="00AB5567"/>
    <w:rsid w:val="00AC5FB4"/>
    <w:rsid w:val="00AC7030"/>
    <w:rsid w:val="00AD1F3A"/>
    <w:rsid w:val="00AD2636"/>
    <w:rsid w:val="00AF2744"/>
    <w:rsid w:val="00AF71A7"/>
    <w:rsid w:val="00B00095"/>
    <w:rsid w:val="00B0784F"/>
    <w:rsid w:val="00B11D45"/>
    <w:rsid w:val="00B32CC2"/>
    <w:rsid w:val="00B33753"/>
    <w:rsid w:val="00B34FC2"/>
    <w:rsid w:val="00B41AFA"/>
    <w:rsid w:val="00B432B9"/>
    <w:rsid w:val="00B476B8"/>
    <w:rsid w:val="00B5352C"/>
    <w:rsid w:val="00B56810"/>
    <w:rsid w:val="00B61C5C"/>
    <w:rsid w:val="00B70695"/>
    <w:rsid w:val="00B77E0F"/>
    <w:rsid w:val="00B853A7"/>
    <w:rsid w:val="00B86C72"/>
    <w:rsid w:val="00B959D6"/>
    <w:rsid w:val="00BB77ED"/>
    <w:rsid w:val="00BC201D"/>
    <w:rsid w:val="00BC3239"/>
    <w:rsid w:val="00BC53B9"/>
    <w:rsid w:val="00BF1035"/>
    <w:rsid w:val="00BF1CE3"/>
    <w:rsid w:val="00BF68BA"/>
    <w:rsid w:val="00C109C5"/>
    <w:rsid w:val="00C16A30"/>
    <w:rsid w:val="00C25181"/>
    <w:rsid w:val="00C25374"/>
    <w:rsid w:val="00C262D5"/>
    <w:rsid w:val="00C35A72"/>
    <w:rsid w:val="00C35F93"/>
    <w:rsid w:val="00C37059"/>
    <w:rsid w:val="00C447BC"/>
    <w:rsid w:val="00C52F00"/>
    <w:rsid w:val="00C53C05"/>
    <w:rsid w:val="00C666C9"/>
    <w:rsid w:val="00C858DD"/>
    <w:rsid w:val="00C869F7"/>
    <w:rsid w:val="00C94B0E"/>
    <w:rsid w:val="00C97665"/>
    <w:rsid w:val="00CA07FE"/>
    <w:rsid w:val="00CA0F4B"/>
    <w:rsid w:val="00CA20C5"/>
    <w:rsid w:val="00CA30A2"/>
    <w:rsid w:val="00CC4E5B"/>
    <w:rsid w:val="00CD072C"/>
    <w:rsid w:val="00CD08BC"/>
    <w:rsid w:val="00CD5EDF"/>
    <w:rsid w:val="00CE0F58"/>
    <w:rsid w:val="00D06B36"/>
    <w:rsid w:val="00D14AE6"/>
    <w:rsid w:val="00D14F08"/>
    <w:rsid w:val="00D171FB"/>
    <w:rsid w:val="00D230A2"/>
    <w:rsid w:val="00D250B3"/>
    <w:rsid w:val="00D27FC7"/>
    <w:rsid w:val="00D30DE5"/>
    <w:rsid w:val="00D30FC7"/>
    <w:rsid w:val="00D360DB"/>
    <w:rsid w:val="00D4086D"/>
    <w:rsid w:val="00D46E8D"/>
    <w:rsid w:val="00D56BB3"/>
    <w:rsid w:val="00D61ADA"/>
    <w:rsid w:val="00D66104"/>
    <w:rsid w:val="00D710A6"/>
    <w:rsid w:val="00D71464"/>
    <w:rsid w:val="00D7216C"/>
    <w:rsid w:val="00D777A0"/>
    <w:rsid w:val="00D81C4A"/>
    <w:rsid w:val="00D919C1"/>
    <w:rsid w:val="00D91E45"/>
    <w:rsid w:val="00D92113"/>
    <w:rsid w:val="00DA3E6A"/>
    <w:rsid w:val="00DC2CEF"/>
    <w:rsid w:val="00DD66E9"/>
    <w:rsid w:val="00DE38C0"/>
    <w:rsid w:val="00DE422F"/>
    <w:rsid w:val="00DE5518"/>
    <w:rsid w:val="00DE62FD"/>
    <w:rsid w:val="00DF1108"/>
    <w:rsid w:val="00DF3E08"/>
    <w:rsid w:val="00E04A9B"/>
    <w:rsid w:val="00E10A2E"/>
    <w:rsid w:val="00E11FB2"/>
    <w:rsid w:val="00E22E9F"/>
    <w:rsid w:val="00E231E5"/>
    <w:rsid w:val="00E344C4"/>
    <w:rsid w:val="00E50A57"/>
    <w:rsid w:val="00E711E2"/>
    <w:rsid w:val="00E82D23"/>
    <w:rsid w:val="00E96132"/>
    <w:rsid w:val="00E97FBC"/>
    <w:rsid w:val="00EA19C3"/>
    <w:rsid w:val="00EA580D"/>
    <w:rsid w:val="00EB0826"/>
    <w:rsid w:val="00ED1A0E"/>
    <w:rsid w:val="00ED27D1"/>
    <w:rsid w:val="00ED36E9"/>
    <w:rsid w:val="00ED39D4"/>
    <w:rsid w:val="00ED5346"/>
    <w:rsid w:val="00EE1A2A"/>
    <w:rsid w:val="00EE3226"/>
    <w:rsid w:val="00EE796D"/>
    <w:rsid w:val="00EF08A3"/>
    <w:rsid w:val="00EF3E9B"/>
    <w:rsid w:val="00F00E09"/>
    <w:rsid w:val="00F1133C"/>
    <w:rsid w:val="00F17A52"/>
    <w:rsid w:val="00F3050A"/>
    <w:rsid w:val="00F41044"/>
    <w:rsid w:val="00F413C8"/>
    <w:rsid w:val="00F50D2B"/>
    <w:rsid w:val="00F50D6A"/>
    <w:rsid w:val="00F62A80"/>
    <w:rsid w:val="00F6408F"/>
    <w:rsid w:val="00F656D3"/>
    <w:rsid w:val="00F77412"/>
    <w:rsid w:val="00F81D10"/>
    <w:rsid w:val="00F82BDE"/>
    <w:rsid w:val="00F85DDE"/>
    <w:rsid w:val="00F96FDC"/>
    <w:rsid w:val="00FA690C"/>
    <w:rsid w:val="00FB02ED"/>
    <w:rsid w:val="00FD7CCD"/>
    <w:rsid w:val="00FE3B13"/>
    <w:rsid w:val="00FF1CEE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0A"/>
    <w:pPr>
      <w:spacing w:after="200" w:line="276" w:lineRule="auto"/>
    </w:pPr>
    <w:rPr>
      <w:sz w:val="22"/>
      <w:szCs w:val="22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D360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497AF5"/>
    <w:pPr>
      <w:ind w:left="708"/>
    </w:pPr>
  </w:style>
  <w:style w:type="table" w:styleId="Tablaconcuadrcula">
    <w:name w:val="Table Grid"/>
    <w:basedOn w:val="Tablanormal"/>
    <w:uiPriority w:val="59"/>
    <w:rsid w:val="00764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0095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B0009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00095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B000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2686</Words>
  <Characters>14773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Hacienda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dgii</dc:creator>
  <cp:lastModifiedBy>Carlos</cp:lastModifiedBy>
  <cp:revision>2</cp:revision>
  <dcterms:created xsi:type="dcterms:W3CDTF">2011-06-29T15:06:00Z</dcterms:created>
  <dcterms:modified xsi:type="dcterms:W3CDTF">2011-06-29T15:06:00Z</dcterms:modified>
</cp:coreProperties>
</file>